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2F2F2"/>
  <w:body>
    <w:tbl>
      <w:tblPr>
        <w:tblStyle w:val="TableGrid"/>
        <w:tblW w:w="10080" w:type="dxa"/>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none" w:sz="0" w:space="0" w:color="auto"/>
          <w:insideV w:val="none" w:sz="0" w:space="0" w:color="auto"/>
        </w:tblBorders>
        <w:shd w:val="clear" w:color="auto" w:fill="FFFFFF" w:themeFill="background1"/>
        <w:tblLook w:val="04A0" w:firstRow="1" w:lastRow="0" w:firstColumn="1" w:lastColumn="0" w:noHBand="0" w:noVBand="1"/>
      </w:tblPr>
      <w:tblGrid>
        <w:gridCol w:w="862"/>
        <w:gridCol w:w="8361"/>
        <w:gridCol w:w="862"/>
      </w:tblGrid>
      <w:tr w:rsidR="007C3224" w14:paraId="3A5E4009" w14:textId="77777777" w:rsidTr="00A24B54">
        <w:trPr>
          <w:trHeight w:val="810"/>
          <w:jc w:val="center"/>
        </w:trPr>
        <w:tc>
          <w:tcPr>
            <w:tcW w:w="10079" w:type="dxa"/>
            <w:gridSpan w:val="3"/>
            <w:shd w:val="clear" w:color="auto" w:fill="FFFFFF" w:themeFill="background1"/>
            <w:tcMar>
              <w:left w:w="0" w:type="dxa"/>
              <w:right w:w="0" w:type="dxa"/>
            </w:tcMar>
          </w:tcPr>
          <w:p w14:paraId="1FD49B80" w14:textId="77777777" w:rsidR="002F09DE" w:rsidRDefault="006E27D2">
            <w:r>
              <w:rPr>
                <w:noProof/>
              </w:rPr>
              <w:t xml:space="preserve"> </w:t>
            </w:r>
            <w:r>
              <w:rPr>
                <w:noProof/>
              </w:rPr>
              <w:drawing>
                <wp:inline distT="0" distB="0" distL="0" distR="0" wp14:anchorId="7179E6A7" wp14:editId="6C928415">
                  <wp:extent cx="6400800" cy="1123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bergTraurig_EviteFrame.jpg"/>
                          <pic:cNvPicPr/>
                        </pic:nvPicPr>
                        <pic:blipFill>
                          <a:blip r:embed="rId5">
                            <a:extLst>
                              <a:ext uri="{28A0092B-C50C-407E-A947-70E740481C1C}">
                                <a14:useLocalDpi xmlns:a14="http://schemas.microsoft.com/office/drawing/2010/main" val="0"/>
                              </a:ext>
                            </a:extLst>
                          </a:blip>
                          <a:stretch>
                            <a:fillRect/>
                          </a:stretch>
                        </pic:blipFill>
                        <pic:spPr>
                          <a:xfrm>
                            <a:off x="0" y="0"/>
                            <a:ext cx="6400800" cy="1123950"/>
                          </a:xfrm>
                          <a:prstGeom prst="rect">
                            <a:avLst/>
                          </a:prstGeom>
                        </pic:spPr>
                      </pic:pic>
                    </a:graphicData>
                  </a:graphic>
                </wp:inline>
              </w:drawing>
            </w:r>
          </w:p>
        </w:tc>
      </w:tr>
      <w:tr w:rsidR="007C3224" w14:paraId="6D77F9F7" w14:textId="77777777" w:rsidTr="00A24B54">
        <w:trPr>
          <w:trHeight w:val="810"/>
          <w:jc w:val="center"/>
        </w:trPr>
        <w:tc>
          <w:tcPr>
            <w:tcW w:w="847" w:type="dxa"/>
            <w:shd w:val="clear" w:color="auto" w:fill="2D2D2D"/>
            <w:tcMar>
              <w:left w:w="0" w:type="dxa"/>
              <w:right w:w="0" w:type="dxa"/>
            </w:tcMar>
          </w:tcPr>
          <w:p w14:paraId="4CCB7E7F" w14:textId="28020C37" w:rsidR="00DA1CDF" w:rsidRDefault="009849C7"/>
        </w:tc>
        <w:tc>
          <w:tcPr>
            <w:tcW w:w="8370" w:type="dxa"/>
            <w:shd w:val="clear" w:color="auto" w:fill="2D2D2D"/>
            <w:tcMar>
              <w:left w:w="0" w:type="dxa"/>
              <w:right w:w="0" w:type="dxa"/>
            </w:tcMar>
          </w:tcPr>
          <w:p w14:paraId="35C0B730" w14:textId="0CD72F7E" w:rsidR="00DA1CDF" w:rsidRPr="00DA1CDF" w:rsidRDefault="00EB0BBF" w:rsidP="004D3DF9">
            <w:pPr>
              <w:pStyle w:val="GTTitleGold"/>
            </w:pPr>
            <w:r w:rsidRPr="00611CC8">
              <w:rPr>
                <w:rFonts w:eastAsia="Times New Roman" w:cs="Arial"/>
                <w:bCs/>
                <w:color w:val="BE9B39"/>
              </w:rPr>
              <w:t>You Are </w:t>
            </w:r>
            <w:r w:rsidRPr="00611CC8">
              <w:rPr>
                <w:rFonts w:eastAsia="Times New Roman" w:cs="Arial"/>
                <w:bCs/>
                <w:color w:val="FFFFFF"/>
              </w:rPr>
              <w:t>Invited</w:t>
            </w:r>
          </w:p>
        </w:tc>
        <w:tc>
          <w:tcPr>
            <w:tcW w:w="862" w:type="dxa"/>
            <w:shd w:val="clear" w:color="auto" w:fill="2D2D2D"/>
          </w:tcPr>
          <w:p w14:paraId="3D40793D" w14:textId="77777777" w:rsidR="00DA1CDF" w:rsidRDefault="009849C7"/>
        </w:tc>
      </w:tr>
      <w:tr w:rsidR="007C3224" w14:paraId="33FDCFC8" w14:textId="77777777" w:rsidTr="00A24B54">
        <w:trPr>
          <w:trHeight w:val="2857"/>
          <w:jc w:val="center"/>
        </w:trPr>
        <w:tc>
          <w:tcPr>
            <w:tcW w:w="10079" w:type="dxa"/>
            <w:gridSpan w:val="3"/>
            <w:shd w:val="clear" w:color="auto" w:fill="FFFFFF" w:themeFill="background1"/>
            <w:tcMar>
              <w:left w:w="0" w:type="dxa"/>
              <w:right w:w="0" w:type="dxa"/>
            </w:tcMar>
          </w:tcPr>
          <w:p w14:paraId="2EBD6CA5" w14:textId="79D68EA9" w:rsidR="002F09DE" w:rsidRDefault="00EB0BBF">
            <w:r w:rsidRPr="00611CC8">
              <w:rPr>
                <w:rFonts w:ascii="Arial" w:eastAsia="Times New Roman" w:hAnsi="Arial" w:cs="Arial"/>
                <w:noProof/>
                <w:color w:val="000000"/>
                <w:sz w:val="20"/>
                <w:szCs w:val="20"/>
              </w:rPr>
              <w:drawing>
                <wp:inline distT="0" distB="0" distL="0" distR="0" wp14:anchorId="0C8F86F7" wp14:editId="577B023E">
                  <wp:extent cx="6400799" cy="2400300"/>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6423056" cy="2408646"/>
                          </a:xfrm>
                          <a:prstGeom prst="rect">
                            <a:avLst/>
                          </a:prstGeom>
                          <a:noFill/>
                          <a:ln>
                            <a:noFill/>
                          </a:ln>
                        </pic:spPr>
                      </pic:pic>
                    </a:graphicData>
                  </a:graphic>
                </wp:inline>
              </w:drawing>
            </w:r>
          </w:p>
        </w:tc>
      </w:tr>
      <w:tr w:rsidR="007C3224" w14:paraId="0CDE5F95" w14:textId="77777777" w:rsidTr="00A24B54">
        <w:trPr>
          <w:trHeight w:val="2304"/>
          <w:jc w:val="center"/>
        </w:trPr>
        <w:tc>
          <w:tcPr>
            <w:tcW w:w="862" w:type="dxa"/>
            <w:shd w:val="clear" w:color="auto" w:fill="FFFFFF" w:themeFill="background1"/>
            <w:tcMar>
              <w:left w:w="0" w:type="dxa"/>
              <w:right w:w="0" w:type="dxa"/>
            </w:tcMar>
          </w:tcPr>
          <w:p w14:paraId="2B18FD54" w14:textId="77777777" w:rsidR="002F09DE" w:rsidRDefault="009849C7"/>
        </w:tc>
        <w:tc>
          <w:tcPr>
            <w:tcW w:w="8355" w:type="dxa"/>
            <w:shd w:val="clear" w:color="auto" w:fill="FFFFFF" w:themeFill="background1"/>
            <w:tcMar>
              <w:left w:w="0" w:type="dxa"/>
              <w:right w:w="0" w:type="dxa"/>
            </w:tcMar>
          </w:tcPr>
          <w:p w14:paraId="78BB58E7" w14:textId="3279032B" w:rsidR="005F4633" w:rsidRPr="00564F85" w:rsidRDefault="006D05F7" w:rsidP="00EB0BBF">
            <w:pPr>
              <w:pStyle w:val="GTBodyCopy"/>
              <w:spacing w:after="0" w:line="240" w:lineRule="auto"/>
              <w:rPr>
                <w:rFonts w:eastAsia="Times New Roman" w:cs="Arial"/>
                <w:b/>
                <w:bCs/>
                <w:color w:val="BE9B39"/>
                <w:sz w:val="28"/>
                <w:szCs w:val="28"/>
              </w:rPr>
            </w:pPr>
            <w:r w:rsidRPr="00611CC8">
              <w:rPr>
                <w:rFonts w:ascii="Arial" w:eastAsia="Times New Roman" w:hAnsi="Arial" w:cs="Arial"/>
                <w:noProof/>
                <w:color w:val="000000"/>
                <w:sz w:val="20"/>
                <w:szCs w:val="20"/>
              </w:rPr>
              <w:drawing>
                <wp:anchor distT="0" distB="0" distL="114300" distR="114300" simplePos="0" relativeHeight="251658240" behindDoc="0" locked="0" layoutInCell="1" allowOverlap="1" wp14:anchorId="6EE92E4F" wp14:editId="6D801D04">
                  <wp:simplePos x="0" y="0"/>
                  <wp:positionH relativeFrom="column">
                    <wp:posOffset>4378325</wp:posOffset>
                  </wp:positionH>
                  <wp:positionV relativeFrom="paragraph">
                    <wp:posOffset>78740</wp:posOffset>
                  </wp:positionV>
                  <wp:extent cx="952500" cy="13335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1333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B9D655" w14:textId="564F122C" w:rsidR="006D05F7" w:rsidRDefault="00EB0BBF" w:rsidP="00564F85">
            <w:pPr>
              <w:pStyle w:val="GTBodyCopy"/>
              <w:spacing w:after="0" w:line="240" w:lineRule="auto"/>
              <w:rPr>
                <w:rFonts w:eastAsia="Times New Roman" w:cs="Arial"/>
                <w:b/>
                <w:bCs/>
                <w:color w:val="BE9B39"/>
                <w:sz w:val="28"/>
                <w:szCs w:val="28"/>
              </w:rPr>
            </w:pPr>
            <w:r w:rsidRPr="00611CC8">
              <w:rPr>
                <w:rFonts w:eastAsia="Times New Roman" w:cs="Arial"/>
                <w:b/>
                <w:bCs/>
                <w:color w:val="BE9B39"/>
                <w:sz w:val="28"/>
                <w:szCs w:val="28"/>
              </w:rPr>
              <w:t xml:space="preserve">CLE Presentation: </w:t>
            </w:r>
          </w:p>
          <w:p w14:paraId="5B30516C" w14:textId="320B6F74" w:rsidR="006D05F7" w:rsidRDefault="00564F85" w:rsidP="00564F85">
            <w:pPr>
              <w:pStyle w:val="GTBodyCopy"/>
              <w:spacing w:after="0" w:line="240" w:lineRule="auto"/>
              <w:rPr>
                <w:rFonts w:eastAsia="Times New Roman" w:cs="Arial"/>
                <w:b/>
                <w:bCs/>
                <w:color w:val="BE9B39"/>
                <w:sz w:val="28"/>
                <w:szCs w:val="28"/>
              </w:rPr>
            </w:pPr>
            <w:r w:rsidRPr="00564F85">
              <w:rPr>
                <w:rFonts w:eastAsia="Times New Roman" w:cs="Arial"/>
                <w:b/>
                <w:bCs/>
                <w:color w:val="BE9B39"/>
                <w:sz w:val="28"/>
                <w:szCs w:val="28"/>
              </w:rPr>
              <w:t xml:space="preserve">The Future of Restrictive Covenant </w:t>
            </w:r>
          </w:p>
          <w:p w14:paraId="62A4DD38" w14:textId="5D608738" w:rsidR="00EB0BBF" w:rsidRDefault="00564F85" w:rsidP="00564F85">
            <w:pPr>
              <w:pStyle w:val="GTBodyCopy"/>
              <w:spacing w:after="0" w:line="240" w:lineRule="auto"/>
              <w:rPr>
                <w:rFonts w:eastAsia="Times New Roman" w:cs="Arial"/>
                <w:b/>
                <w:bCs/>
                <w:color w:val="BE9B39"/>
                <w:sz w:val="28"/>
                <w:szCs w:val="28"/>
              </w:rPr>
            </w:pPr>
            <w:r w:rsidRPr="00564F85">
              <w:rPr>
                <w:rFonts w:eastAsia="Times New Roman" w:cs="Arial"/>
                <w:b/>
                <w:bCs/>
                <w:color w:val="BE9B39"/>
                <w:sz w:val="28"/>
                <w:szCs w:val="28"/>
              </w:rPr>
              <w:t>Under Biden Administration</w:t>
            </w:r>
          </w:p>
          <w:p w14:paraId="6EE03A19" w14:textId="144433B3" w:rsidR="008123B2" w:rsidRDefault="008123B2" w:rsidP="00EB0BBF">
            <w:pPr>
              <w:pStyle w:val="GTBodyCopy"/>
              <w:spacing w:after="0" w:line="240" w:lineRule="auto"/>
              <w:jc w:val="both"/>
              <w:rPr>
                <w:rFonts w:eastAsia="Times New Roman" w:cs="Arial"/>
                <w:b/>
                <w:bCs/>
                <w:color w:val="BE9B39"/>
              </w:rPr>
            </w:pPr>
          </w:p>
          <w:p w14:paraId="4FD6972D" w14:textId="08C7308A" w:rsidR="00EB0BBF" w:rsidRDefault="008123B2" w:rsidP="00EB0BBF">
            <w:pPr>
              <w:pStyle w:val="GTBodyCopy"/>
              <w:spacing w:after="0" w:line="240" w:lineRule="auto"/>
              <w:jc w:val="both"/>
              <w:rPr>
                <w:rFonts w:eastAsia="Times New Roman" w:cs="Arial"/>
                <w:b/>
                <w:bCs/>
                <w:color w:val="BE9B39"/>
              </w:rPr>
            </w:pPr>
            <w:r>
              <w:rPr>
                <w:rFonts w:eastAsia="Times New Roman" w:cs="Arial"/>
                <w:b/>
                <w:bCs/>
                <w:color w:val="BE9B39"/>
              </w:rPr>
              <w:t>L</w:t>
            </w:r>
            <w:r w:rsidR="00EB0BBF" w:rsidRPr="00611CC8">
              <w:rPr>
                <w:rFonts w:eastAsia="Times New Roman" w:cs="Arial"/>
                <w:b/>
                <w:bCs/>
                <w:color w:val="BE9B39"/>
              </w:rPr>
              <w:t>ive Presentation</w:t>
            </w:r>
            <w:r>
              <w:rPr>
                <w:rFonts w:eastAsia="Times New Roman" w:cs="Arial"/>
                <w:b/>
                <w:bCs/>
                <w:color w:val="BE9B39"/>
              </w:rPr>
              <w:t xml:space="preserve"> Webinar</w:t>
            </w:r>
          </w:p>
          <w:p w14:paraId="05D51D4A" w14:textId="2126A0B6" w:rsidR="00EB0BBF" w:rsidRDefault="008123B2" w:rsidP="00EB0BBF">
            <w:pPr>
              <w:pStyle w:val="GTBodyCopy"/>
              <w:spacing w:after="0" w:line="240" w:lineRule="auto"/>
              <w:jc w:val="both"/>
              <w:rPr>
                <w:rFonts w:eastAsia="Times New Roman" w:cs="Arial"/>
                <w:b/>
                <w:bCs/>
                <w:color w:val="BE9B39"/>
              </w:rPr>
            </w:pPr>
            <w:r>
              <w:rPr>
                <w:rFonts w:eastAsia="Times New Roman" w:cs="Arial"/>
                <w:b/>
                <w:bCs/>
                <w:color w:val="BE9B39"/>
              </w:rPr>
              <w:t>Thursday, July 21, 2022</w:t>
            </w:r>
          </w:p>
          <w:p w14:paraId="38192519" w14:textId="615AAB54" w:rsidR="00EB0BBF" w:rsidRDefault="008123B2" w:rsidP="00EB0BBF">
            <w:pPr>
              <w:pStyle w:val="GTBodyCopy"/>
              <w:spacing w:after="0" w:line="240" w:lineRule="auto"/>
              <w:jc w:val="both"/>
              <w:rPr>
                <w:rFonts w:eastAsia="Times New Roman" w:cs="Arial"/>
                <w:b/>
                <w:bCs/>
                <w:color w:val="000000"/>
              </w:rPr>
            </w:pPr>
            <w:r>
              <w:rPr>
                <w:rFonts w:eastAsia="Times New Roman" w:cs="Arial"/>
                <w:b/>
                <w:bCs/>
                <w:color w:val="000000"/>
              </w:rPr>
              <w:t>12:00 pm – 1:30 pm</w:t>
            </w:r>
            <w:r w:rsidR="00EB0BBF" w:rsidRPr="00611CC8">
              <w:rPr>
                <w:rFonts w:eastAsia="Times New Roman" w:cs="Arial"/>
                <w:b/>
                <w:bCs/>
                <w:color w:val="000000"/>
              </w:rPr>
              <w:t xml:space="preserve"> ET</w:t>
            </w:r>
          </w:p>
          <w:p w14:paraId="38F46BB8" w14:textId="41C32340" w:rsidR="008123B2" w:rsidRPr="008123B2" w:rsidRDefault="008123B2" w:rsidP="008123B2">
            <w:pPr>
              <w:pStyle w:val="GTBodyCopy"/>
              <w:spacing w:after="0" w:line="240" w:lineRule="auto"/>
              <w:jc w:val="right"/>
              <w:rPr>
                <w:b/>
                <w:bCs/>
              </w:rPr>
            </w:pPr>
            <w:r w:rsidRPr="008123B2">
              <w:rPr>
                <w:b/>
                <w:bCs/>
              </w:rPr>
              <w:t>Presenter:</w:t>
            </w:r>
          </w:p>
          <w:p w14:paraId="0D433A5E" w14:textId="5619DB06" w:rsidR="008123B2" w:rsidRDefault="009849C7" w:rsidP="008123B2">
            <w:pPr>
              <w:pStyle w:val="GTBodyCopy"/>
              <w:spacing w:after="0" w:line="240" w:lineRule="auto"/>
              <w:jc w:val="right"/>
              <w:rPr>
                <w:rFonts w:eastAsia="Times New Roman" w:cs="Arial"/>
                <w:b/>
                <w:bCs/>
                <w:color w:val="000000"/>
              </w:rPr>
            </w:pPr>
            <w:hyperlink r:id="rId8" w:tgtFrame="_blank" w:history="1">
              <w:r w:rsidR="008123B2" w:rsidRPr="00611CC8">
                <w:rPr>
                  <w:rFonts w:eastAsia="Times New Roman" w:cs="Arial"/>
                  <w:color w:val="000000"/>
                  <w:u w:val="single"/>
                </w:rPr>
                <w:t>Jennifer W. Corinis</w:t>
              </w:r>
            </w:hyperlink>
            <w:r w:rsidR="008123B2" w:rsidRPr="00611CC8">
              <w:rPr>
                <w:rFonts w:ascii="Arial" w:eastAsia="Times New Roman" w:hAnsi="Arial" w:cs="Arial"/>
                <w:color w:val="000000"/>
              </w:rPr>
              <w:br/>
            </w:r>
            <w:r w:rsidR="008123B2" w:rsidRPr="00611CC8">
              <w:rPr>
                <w:rFonts w:eastAsia="Times New Roman" w:cs="Arial"/>
                <w:i/>
                <w:iCs/>
                <w:color w:val="000000"/>
              </w:rPr>
              <w:t>Of Counse</w:t>
            </w:r>
            <w:r w:rsidR="008123B2" w:rsidRPr="00611CC8">
              <w:rPr>
                <w:rFonts w:ascii="Arial" w:eastAsia="Times New Roman" w:hAnsi="Arial" w:cs="Arial"/>
                <w:color w:val="000000"/>
              </w:rPr>
              <w:t>l</w:t>
            </w:r>
          </w:p>
          <w:p w14:paraId="637CECCA" w14:textId="77777777" w:rsidR="008123B2" w:rsidRDefault="008123B2" w:rsidP="00EB0BBF">
            <w:pPr>
              <w:jc w:val="both"/>
              <w:rPr>
                <w:rFonts w:ascii="Georgia" w:eastAsia="Times New Roman" w:hAnsi="Georgia" w:cs="Arial"/>
                <w:color w:val="000000"/>
              </w:rPr>
            </w:pPr>
          </w:p>
          <w:p w14:paraId="756ADF97" w14:textId="3E69590F" w:rsidR="00EB0BBF" w:rsidRPr="009849C7" w:rsidRDefault="00EB0BBF" w:rsidP="00EB0BBF">
            <w:pPr>
              <w:jc w:val="both"/>
              <w:rPr>
                <w:rFonts w:ascii="Georgia" w:eastAsia="Times New Roman" w:hAnsi="Georgia" w:cs="Arial"/>
                <w:color w:val="000000"/>
              </w:rPr>
            </w:pPr>
            <w:r w:rsidRPr="009849C7">
              <w:rPr>
                <w:rFonts w:ascii="Georgia" w:eastAsia="Times New Roman" w:hAnsi="Georgia" w:cs="Arial"/>
                <w:color w:val="000000"/>
              </w:rPr>
              <w:t>While 2021 brought major challenges and changes to the workplace with respect to mask and vaccination mandates, recent actions taken by federal and state legislatures point to more changes in 2022, several which pertain to noncompete agreements, restrictive covenants, and trade secrets.  This coupled with increased mobility in the job market is a major factor behind an uptick in restrictive covenant enforcement suits.</w:t>
            </w:r>
          </w:p>
          <w:p w14:paraId="5757925E" w14:textId="77777777" w:rsidR="00EB0BBF" w:rsidRPr="009849C7" w:rsidRDefault="00EB0BBF" w:rsidP="00EB0BBF">
            <w:pPr>
              <w:jc w:val="both"/>
              <w:rPr>
                <w:rFonts w:ascii="Georgia" w:eastAsia="Times New Roman" w:hAnsi="Georgia" w:cs="Arial"/>
                <w:color w:val="000000"/>
              </w:rPr>
            </w:pPr>
            <w:r w:rsidRPr="009849C7">
              <w:rPr>
                <w:rFonts w:ascii="Georgia" w:eastAsia="Times New Roman" w:hAnsi="Georgia" w:cs="Arial"/>
                <w:color w:val="000000"/>
              </w:rPr>
              <w:br/>
              <w:t>One study estimates that approximately 64% of executives employed in publicly listed companies in the U.S. are bound by contracts with restrictive covenants.  The tight job market, which makes it harder for employers to fill vacancies is another factor in the growth of such suits. </w:t>
            </w:r>
          </w:p>
          <w:p w14:paraId="75F6044B" w14:textId="762C3785" w:rsidR="00EB0BBF" w:rsidRPr="00611CC8" w:rsidRDefault="00EB0BBF" w:rsidP="008123B2">
            <w:pPr>
              <w:jc w:val="both"/>
              <w:rPr>
                <w:rFonts w:ascii="Arial" w:eastAsia="Times New Roman" w:hAnsi="Arial" w:cs="Arial"/>
                <w:color w:val="000000"/>
                <w:sz w:val="20"/>
                <w:szCs w:val="20"/>
              </w:rPr>
            </w:pPr>
            <w:r w:rsidRPr="009849C7">
              <w:rPr>
                <w:rFonts w:ascii="Georgia" w:eastAsia="Times New Roman" w:hAnsi="Georgia" w:cs="Arial"/>
                <w:color w:val="000000"/>
              </w:rPr>
              <w:t> </w:t>
            </w:r>
            <w:r w:rsidRPr="009849C7">
              <w:rPr>
                <w:rFonts w:ascii="Georgia" w:eastAsia="Times New Roman" w:hAnsi="Georgia" w:cs="Arial"/>
                <w:color w:val="000000"/>
              </w:rPr>
              <w:br/>
              <w:t>This presentation addresses how to more effectively prepare contracts to protect your client in the event of future disputes. Receive in-the-trenches experience, case law highlights, and contract preparation and litigation strategies.</w:t>
            </w:r>
            <w:r w:rsidRPr="009849C7">
              <w:rPr>
                <w:rFonts w:ascii="Arial" w:eastAsia="Times New Roman" w:hAnsi="Arial" w:cs="Arial"/>
                <w:color w:val="000000"/>
              </w:rPr>
              <w:br/>
            </w:r>
            <w:r w:rsidRPr="009849C7">
              <w:rPr>
                <w:rFonts w:ascii="Arial" w:eastAsia="Times New Roman" w:hAnsi="Arial" w:cs="Arial"/>
                <w:color w:val="000000"/>
              </w:rPr>
              <w:br/>
            </w:r>
            <w:r w:rsidRPr="009849C7">
              <w:rPr>
                <w:rFonts w:ascii="Georgia" w:eastAsia="Times New Roman" w:hAnsi="Georgia" w:cs="Arial"/>
                <w:color w:val="000000"/>
              </w:rPr>
              <w:t xml:space="preserve">As these new laws are enacted, employers should evaluate whether and to what extent their non-competition and non-solicitation agreements are enforceable </w:t>
            </w:r>
            <w:r w:rsidRPr="009849C7">
              <w:rPr>
                <w:rFonts w:ascii="Georgia" w:eastAsia="Times New Roman" w:hAnsi="Georgia" w:cs="Arial"/>
                <w:color w:val="000000"/>
              </w:rPr>
              <w:lastRenderedPageBreak/>
              <w:t>in the jurisdictions in which they operate and whether they have taken appropriate steps in jurisdictions with minimum earnings threshold changes.</w:t>
            </w:r>
            <w:r w:rsidRPr="00611CC8">
              <w:rPr>
                <w:rFonts w:ascii="Arial" w:eastAsia="Times New Roman" w:hAnsi="Arial" w:cs="Arial"/>
                <w:color w:val="000000"/>
              </w:rPr>
              <w:br/>
            </w:r>
            <w:r w:rsidRPr="00611CC8">
              <w:rPr>
                <w:rFonts w:ascii="Georgia" w:eastAsia="Times New Roman" w:hAnsi="Georgia" w:cs="Arial"/>
                <w:color w:val="A9A9A9"/>
              </w:rPr>
              <w:t> </w:t>
            </w:r>
          </w:p>
          <w:p w14:paraId="4A2B8BA2" w14:textId="77777777" w:rsidR="008123B2" w:rsidRDefault="00EB0BBF" w:rsidP="00EB0BBF">
            <w:pPr>
              <w:jc w:val="center"/>
              <w:rPr>
                <w:rFonts w:ascii="Georgia" w:eastAsia="Times New Roman" w:hAnsi="Georgia" w:cs="Arial"/>
                <w:color w:val="A9A9A9"/>
                <w:sz w:val="22"/>
              </w:rPr>
            </w:pPr>
            <w:r w:rsidRPr="00611CC8">
              <w:rPr>
                <w:rFonts w:ascii="Georgia" w:eastAsia="Times New Roman" w:hAnsi="Georgia" w:cs="Arial"/>
                <w:color w:val="A9A9A9"/>
                <w:sz w:val="22"/>
              </w:rPr>
              <w:t>1.</w:t>
            </w:r>
            <w:r w:rsidR="008123B2">
              <w:rPr>
                <w:rFonts w:ascii="Georgia" w:eastAsia="Times New Roman" w:hAnsi="Georgia" w:cs="Arial"/>
                <w:color w:val="A9A9A9"/>
                <w:sz w:val="22"/>
              </w:rPr>
              <w:t>5</w:t>
            </w:r>
            <w:r w:rsidRPr="00611CC8">
              <w:rPr>
                <w:rFonts w:ascii="Georgia" w:eastAsia="Times New Roman" w:hAnsi="Georgia" w:cs="Arial"/>
                <w:color w:val="A9A9A9"/>
                <w:sz w:val="22"/>
              </w:rPr>
              <w:t xml:space="preserve"> General Hour CLE credit pending approval in</w:t>
            </w:r>
            <w:r w:rsidR="008123B2">
              <w:rPr>
                <w:rFonts w:ascii="Georgia" w:eastAsia="Times New Roman" w:hAnsi="Georgia" w:cs="Arial"/>
                <w:color w:val="A9A9A9"/>
                <w:sz w:val="22"/>
              </w:rPr>
              <w:t xml:space="preserve"> </w:t>
            </w:r>
            <w:r w:rsidRPr="00611CC8">
              <w:rPr>
                <w:rFonts w:ascii="Georgia" w:eastAsia="Times New Roman" w:hAnsi="Georgia" w:cs="Arial"/>
                <w:color w:val="A9A9A9"/>
                <w:sz w:val="22"/>
              </w:rPr>
              <w:t>FL</w:t>
            </w:r>
          </w:p>
          <w:p w14:paraId="7A0FB472" w14:textId="79D161C2" w:rsidR="00EB0BBF" w:rsidRPr="00611CC8" w:rsidRDefault="008123B2" w:rsidP="00EB0BBF">
            <w:pPr>
              <w:jc w:val="center"/>
              <w:rPr>
                <w:rFonts w:ascii="Arial" w:eastAsia="Times New Roman" w:hAnsi="Arial" w:cs="Arial"/>
                <w:color w:val="000000"/>
                <w:sz w:val="20"/>
                <w:szCs w:val="20"/>
              </w:rPr>
            </w:pPr>
            <w:r>
              <w:rPr>
                <w:rFonts w:ascii="Georgia" w:eastAsia="Times New Roman" w:hAnsi="Georgia" w:cs="Arial"/>
                <w:color w:val="A9A9A9"/>
                <w:sz w:val="22"/>
              </w:rPr>
              <w:t>Other</w:t>
            </w:r>
            <w:r w:rsidR="00EB0BBF" w:rsidRPr="00611CC8">
              <w:rPr>
                <w:rFonts w:ascii="Georgia" w:eastAsia="Times New Roman" w:hAnsi="Georgia" w:cs="Arial"/>
                <w:color w:val="A9A9A9"/>
                <w:sz w:val="22"/>
              </w:rPr>
              <w:t xml:space="preserve"> credit will be sought upon request.</w:t>
            </w:r>
          </w:p>
          <w:p w14:paraId="117CD559" w14:textId="195AF164" w:rsidR="005C36B8" w:rsidRDefault="00EB0BBF" w:rsidP="00EB0BBF">
            <w:pPr>
              <w:pStyle w:val="GTHeading-Gold"/>
              <w:spacing w:after="0"/>
              <w:rPr>
                <w:b w:val="0"/>
                <w:color w:val="auto"/>
                <w:sz w:val="22"/>
                <w:szCs w:val="24"/>
              </w:rPr>
            </w:pPr>
            <w:r w:rsidRPr="00611CC8">
              <w:rPr>
                <w:rFonts w:ascii="Arial" w:eastAsia="Times New Roman" w:hAnsi="Arial" w:cs="Arial"/>
                <w:color w:val="000000"/>
                <w:sz w:val="20"/>
                <w:szCs w:val="20"/>
              </w:rPr>
              <w:t> </w:t>
            </w:r>
          </w:p>
          <w:p w14:paraId="7D117EBC" w14:textId="24A94850" w:rsidR="00604B6B" w:rsidRDefault="00EB0BBF" w:rsidP="005C36B8">
            <w:pPr>
              <w:pStyle w:val="GTHeading-Gold"/>
              <w:spacing w:after="0"/>
              <w:rPr>
                <w:b w:val="0"/>
                <w:color w:val="auto"/>
                <w:sz w:val="22"/>
                <w:szCs w:val="24"/>
              </w:rPr>
            </w:pPr>
            <w:r w:rsidRPr="00611CC8">
              <w:rPr>
                <w:rFonts w:ascii="Arial" w:eastAsia="Times New Roman" w:hAnsi="Arial" w:cs="Arial"/>
                <w:bCs/>
                <w:sz w:val="18"/>
                <w:szCs w:val="18"/>
              </w:rPr>
              <w:t>Greenberg Traurig, LLP  |  </w:t>
            </w:r>
            <w:hyperlink r:id="rId9" w:tgtFrame="_blank" w:history="1">
              <w:r w:rsidRPr="00611CC8">
                <w:rPr>
                  <w:rFonts w:ascii="Arial" w:eastAsia="Times New Roman" w:hAnsi="Arial" w:cs="Arial"/>
                  <w:bCs/>
                  <w:sz w:val="18"/>
                  <w:szCs w:val="18"/>
                  <w:u w:val="single"/>
                </w:rPr>
                <w:t>www.gtlaw.com</w:t>
              </w:r>
            </w:hyperlink>
          </w:p>
          <w:p w14:paraId="2337F679" w14:textId="77777777" w:rsidR="001162BF" w:rsidRDefault="009849C7" w:rsidP="001162BF">
            <w:pPr>
              <w:spacing w:after="120"/>
            </w:pPr>
          </w:p>
        </w:tc>
        <w:tc>
          <w:tcPr>
            <w:tcW w:w="862" w:type="dxa"/>
            <w:shd w:val="clear" w:color="auto" w:fill="FFFFFF" w:themeFill="background1"/>
          </w:tcPr>
          <w:p w14:paraId="34F74352" w14:textId="77777777" w:rsidR="002F09DE" w:rsidRDefault="009849C7"/>
        </w:tc>
      </w:tr>
      <w:tr w:rsidR="007C3224" w14:paraId="091D7EEF" w14:textId="77777777" w:rsidTr="00A24B54">
        <w:trPr>
          <w:trHeight w:val="1233"/>
          <w:jc w:val="center"/>
        </w:trPr>
        <w:tc>
          <w:tcPr>
            <w:tcW w:w="862" w:type="dxa"/>
            <w:shd w:val="clear" w:color="auto" w:fill="2D2D2D"/>
            <w:tcMar>
              <w:left w:w="0" w:type="dxa"/>
              <w:right w:w="0" w:type="dxa"/>
            </w:tcMar>
            <w:vAlign w:val="center"/>
          </w:tcPr>
          <w:p w14:paraId="4A0592D9" w14:textId="77777777" w:rsidR="009B601F" w:rsidRPr="009B601F" w:rsidRDefault="009849C7" w:rsidP="003D63AF"/>
        </w:tc>
        <w:tc>
          <w:tcPr>
            <w:tcW w:w="8355" w:type="dxa"/>
            <w:shd w:val="clear" w:color="auto" w:fill="2D2D2D"/>
            <w:tcMar>
              <w:left w:w="0" w:type="dxa"/>
              <w:right w:w="0" w:type="dxa"/>
            </w:tcMar>
            <w:vAlign w:val="center"/>
          </w:tcPr>
          <w:p w14:paraId="52DF5FC1" w14:textId="77777777" w:rsidR="009B601F" w:rsidRPr="009B601F" w:rsidRDefault="006E27D2" w:rsidP="003D63AF">
            <w:pPr>
              <w:pStyle w:val="GTFooterGold"/>
              <w:spacing w:after="0"/>
            </w:pPr>
            <w:r w:rsidRPr="003D63AF">
              <w:t>Greenberg Traurig, P</w:t>
            </w:r>
            <w:r>
              <w:t>A</w:t>
            </w:r>
            <w:r w:rsidRPr="003D63AF">
              <w:t xml:space="preserve"> | Attorneys at Law | </w:t>
            </w:r>
            <w:hyperlink r:id="rId10" w:history="1">
              <w:r w:rsidRPr="004A4E25">
                <w:rPr>
                  <w:rStyle w:val="Hyperlink"/>
                </w:rPr>
                <w:t>www.gtlaw.com</w:t>
              </w:r>
            </w:hyperlink>
          </w:p>
        </w:tc>
        <w:tc>
          <w:tcPr>
            <w:tcW w:w="862" w:type="dxa"/>
            <w:shd w:val="clear" w:color="auto" w:fill="2D2D2D"/>
            <w:vAlign w:val="center"/>
          </w:tcPr>
          <w:p w14:paraId="5E694F8B" w14:textId="77777777" w:rsidR="009B601F" w:rsidRPr="009B601F" w:rsidRDefault="009849C7" w:rsidP="009B601F"/>
        </w:tc>
      </w:tr>
      <w:tr w:rsidR="007C3224" w14:paraId="0366AEAB" w14:textId="77777777" w:rsidTr="00A24B54">
        <w:trPr>
          <w:trHeight w:val="162"/>
          <w:jc w:val="center"/>
        </w:trPr>
        <w:tc>
          <w:tcPr>
            <w:tcW w:w="862" w:type="dxa"/>
            <w:shd w:val="clear" w:color="auto" w:fill="FFFFFF" w:themeFill="background1"/>
            <w:tcMar>
              <w:left w:w="0" w:type="dxa"/>
              <w:right w:w="0" w:type="dxa"/>
            </w:tcMar>
          </w:tcPr>
          <w:p w14:paraId="4B9B5ED4" w14:textId="77777777" w:rsidR="002F09DE" w:rsidRDefault="009849C7"/>
        </w:tc>
        <w:tc>
          <w:tcPr>
            <w:tcW w:w="8355" w:type="dxa"/>
            <w:shd w:val="clear" w:color="auto" w:fill="FFFFFF" w:themeFill="background1"/>
            <w:tcMar>
              <w:left w:w="0" w:type="dxa"/>
              <w:right w:w="0" w:type="dxa"/>
            </w:tcMar>
          </w:tcPr>
          <w:tbl>
            <w:tblPr>
              <w:tblW w:w="5000" w:type="pct"/>
              <w:tblCellMar>
                <w:left w:w="0" w:type="dxa"/>
                <w:right w:w="0" w:type="dxa"/>
              </w:tblCellMar>
              <w:tblLook w:val="04A0" w:firstRow="1" w:lastRow="0" w:firstColumn="1" w:lastColumn="0" w:noHBand="0" w:noVBand="1"/>
            </w:tblPr>
            <w:tblGrid>
              <w:gridCol w:w="8361"/>
            </w:tblGrid>
            <w:tr w:rsidR="00EB0BBF" w:rsidRPr="00611CC8" w14:paraId="0CF4F205" w14:textId="77777777" w:rsidTr="002A1B38">
              <w:tc>
                <w:tcPr>
                  <w:tcW w:w="0" w:type="auto"/>
                  <w:vAlign w:val="center"/>
                  <w:hideMark/>
                </w:tcPr>
                <w:tbl>
                  <w:tblPr>
                    <w:tblW w:w="5000" w:type="pct"/>
                    <w:tblCellMar>
                      <w:left w:w="0" w:type="dxa"/>
                      <w:right w:w="0" w:type="dxa"/>
                    </w:tblCellMar>
                    <w:tblLook w:val="04A0" w:firstRow="1" w:lastRow="0" w:firstColumn="1" w:lastColumn="0" w:noHBand="0" w:noVBand="1"/>
                  </w:tblPr>
                  <w:tblGrid>
                    <w:gridCol w:w="5769"/>
                    <w:gridCol w:w="167"/>
                    <w:gridCol w:w="2425"/>
                  </w:tblGrid>
                  <w:tr w:rsidR="00EB0BBF" w:rsidRPr="00611CC8" w14:paraId="1BBA5286" w14:textId="77777777" w:rsidTr="008123B2">
                    <w:tc>
                      <w:tcPr>
                        <w:tcW w:w="3450" w:type="pct"/>
                      </w:tcPr>
                      <w:p w14:paraId="6F5E20A3" w14:textId="77777777" w:rsidR="00EB0BBF" w:rsidRPr="00611CC8" w:rsidRDefault="00EB0BBF" w:rsidP="00EB0BBF">
                        <w:pPr>
                          <w:rPr>
                            <w:rFonts w:ascii="Arial" w:eastAsia="Times New Roman" w:hAnsi="Arial" w:cs="Arial"/>
                            <w:color w:val="000000"/>
                            <w:sz w:val="20"/>
                            <w:szCs w:val="20"/>
                          </w:rPr>
                        </w:pPr>
                      </w:p>
                    </w:tc>
                    <w:tc>
                      <w:tcPr>
                        <w:tcW w:w="150" w:type="dxa"/>
                      </w:tcPr>
                      <w:p w14:paraId="09170973" w14:textId="70A05020" w:rsidR="00EB0BBF" w:rsidRPr="00611CC8" w:rsidRDefault="00EB0BBF" w:rsidP="00EB0BBF">
                        <w:pPr>
                          <w:rPr>
                            <w:rFonts w:ascii="Arial" w:eastAsia="Times New Roman" w:hAnsi="Arial" w:cs="Arial"/>
                            <w:color w:val="000000"/>
                            <w:sz w:val="20"/>
                            <w:szCs w:val="20"/>
                          </w:rPr>
                        </w:pPr>
                      </w:p>
                    </w:tc>
                    <w:tc>
                      <w:tcPr>
                        <w:tcW w:w="1450" w:type="pct"/>
                      </w:tcPr>
                      <w:p w14:paraId="475ED265" w14:textId="77777777" w:rsidR="00EB0BBF" w:rsidRPr="00611CC8" w:rsidRDefault="00EB0BBF" w:rsidP="00EB0BBF">
                        <w:pPr>
                          <w:rPr>
                            <w:rFonts w:ascii="Arial" w:eastAsia="Times New Roman" w:hAnsi="Arial" w:cs="Arial"/>
                            <w:color w:val="000000"/>
                            <w:sz w:val="20"/>
                            <w:szCs w:val="20"/>
                          </w:rPr>
                        </w:pPr>
                      </w:p>
                    </w:tc>
                  </w:tr>
                </w:tbl>
                <w:p w14:paraId="55FC8C63" w14:textId="77777777" w:rsidR="00EB0BBF" w:rsidRPr="00611CC8" w:rsidRDefault="00EB0BBF" w:rsidP="00EB0BBF">
                  <w:pPr>
                    <w:rPr>
                      <w:rFonts w:ascii="Arial" w:eastAsia="Times New Roman" w:hAnsi="Arial" w:cs="Arial"/>
                      <w:vanish/>
                      <w:color w:val="000000"/>
                      <w:sz w:val="20"/>
                      <w:szCs w:val="20"/>
                    </w:rPr>
                  </w:pPr>
                </w:p>
                <w:tbl>
                  <w:tblPr>
                    <w:tblW w:w="5000" w:type="pct"/>
                    <w:tblCellMar>
                      <w:left w:w="0" w:type="dxa"/>
                      <w:right w:w="0" w:type="dxa"/>
                    </w:tblCellMar>
                    <w:tblLook w:val="04A0" w:firstRow="1" w:lastRow="0" w:firstColumn="1" w:lastColumn="0" w:noHBand="0" w:noVBand="1"/>
                  </w:tblPr>
                  <w:tblGrid>
                    <w:gridCol w:w="8361"/>
                  </w:tblGrid>
                  <w:tr w:rsidR="00EB0BBF" w:rsidRPr="00611CC8" w14:paraId="79B4FCB2" w14:textId="77777777" w:rsidTr="002A1B38">
                    <w:trPr>
                      <w:trHeight w:val="75"/>
                    </w:trPr>
                    <w:tc>
                      <w:tcPr>
                        <w:tcW w:w="0" w:type="auto"/>
                        <w:hideMark/>
                      </w:tcPr>
                      <w:p w14:paraId="54A28429" w14:textId="77777777" w:rsidR="00EB0BBF" w:rsidRPr="00611CC8" w:rsidRDefault="00EB0BBF" w:rsidP="00EB0BBF">
                        <w:pPr>
                          <w:spacing w:line="75" w:lineRule="atLeast"/>
                          <w:rPr>
                            <w:rFonts w:ascii="Arial" w:eastAsia="Times New Roman" w:hAnsi="Arial" w:cs="Arial"/>
                            <w:color w:val="000000"/>
                            <w:sz w:val="8"/>
                            <w:szCs w:val="8"/>
                          </w:rPr>
                        </w:pPr>
                        <w:r w:rsidRPr="00611CC8">
                          <w:rPr>
                            <w:rFonts w:ascii="Arial" w:eastAsia="Times New Roman" w:hAnsi="Arial" w:cs="Arial"/>
                            <w:noProof/>
                            <w:color w:val="000000"/>
                            <w:sz w:val="8"/>
                            <w:szCs w:val="8"/>
                          </w:rPr>
                          <w:drawing>
                            <wp:inline distT="0" distB="0" distL="0" distR="0" wp14:anchorId="474B26EA" wp14:editId="2920C237">
                              <wp:extent cx="9525" cy="47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47625"/>
                                      </a:xfrm>
                                      <a:prstGeom prst="rect">
                                        <a:avLst/>
                                      </a:prstGeom>
                                      <a:noFill/>
                                      <a:ln>
                                        <a:noFill/>
                                      </a:ln>
                                    </pic:spPr>
                                  </pic:pic>
                                </a:graphicData>
                              </a:graphic>
                            </wp:inline>
                          </w:drawing>
                        </w:r>
                      </w:p>
                    </w:tc>
                  </w:tr>
                </w:tbl>
                <w:p w14:paraId="2F4F36C5" w14:textId="77777777" w:rsidR="00EB0BBF" w:rsidRPr="00611CC8" w:rsidRDefault="00EB0BBF" w:rsidP="00EB0BBF">
                  <w:pPr>
                    <w:rPr>
                      <w:rFonts w:ascii="Arial" w:eastAsia="Times New Roman" w:hAnsi="Arial" w:cs="Arial"/>
                      <w:color w:val="000000"/>
                      <w:sz w:val="20"/>
                      <w:szCs w:val="20"/>
                    </w:rPr>
                  </w:pPr>
                </w:p>
              </w:tc>
            </w:tr>
          </w:tbl>
          <w:p w14:paraId="2291DA36" w14:textId="77777777" w:rsidR="002F09DE" w:rsidRPr="00795AD2" w:rsidRDefault="009849C7" w:rsidP="00A24B54">
            <w:pPr>
              <w:pStyle w:val="GTBodyCopy"/>
            </w:pPr>
          </w:p>
        </w:tc>
        <w:tc>
          <w:tcPr>
            <w:tcW w:w="862" w:type="dxa"/>
            <w:shd w:val="clear" w:color="auto" w:fill="FFFFFF" w:themeFill="background1"/>
          </w:tcPr>
          <w:p w14:paraId="506D125F" w14:textId="77777777" w:rsidR="002F09DE" w:rsidRDefault="009849C7"/>
        </w:tc>
      </w:tr>
    </w:tbl>
    <w:p w14:paraId="154775AB" w14:textId="77777777" w:rsidR="002F09DE" w:rsidRDefault="009849C7"/>
    <w:sectPr w:rsidR="002F09DE">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376DC4"/>
    <w:multiLevelType w:val="hybridMultilevel"/>
    <w:tmpl w:val="75607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5F1EC2"/>
    <w:multiLevelType w:val="hybridMultilevel"/>
    <w:tmpl w:val="E3A6DCEC"/>
    <w:lvl w:ilvl="0" w:tplc="0E62260C">
      <w:numFmt w:val="bullet"/>
      <w:lvlText w:val="-"/>
      <w:lvlJc w:val="left"/>
      <w:pPr>
        <w:ind w:left="720" w:hanging="360"/>
      </w:pPr>
      <w:rPr>
        <w:rFonts w:ascii="Georgia" w:eastAsiaTheme="minorHAnsi" w:hAnsi="Georgia" w:cs="Open Sans Semi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224"/>
    <w:rsid w:val="00155A65"/>
    <w:rsid w:val="00410253"/>
    <w:rsid w:val="004678F5"/>
    <w:rsid w:val="00487E0B"/>
    <w:rsid w:val="004A238D"/>
    <w:rsid w:val="00564F85"/>
    <w:rsid w:val="006D05F7"/>
    <w:rsid w:val="006E27D2"/>
    <w:rsid w:val="007C3224"/>
    <w:rsid w:val="008123B2"/>
    <w:rsid w:val="009849C7"/>
    <w:rsid w:val="00BF50A2"/>
    <w:rsid w:val="00EB0BBF"/>
    <w:rsid w:val="00F15DE6"/>
    <w:rsid w:val="00FE5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2B9B4"/>
  <w15:docId w15:val="{6B70A8C6-7DF4-4ED0-80BB-413E972CB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Normal">
    <w:name w:val="Normal"/>
    <w:qFormat/>
    <w:rsid w:val="004D3D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GTHeading-Gold">
    <w:name w:val="GT Heading - Gold"/>
    <w:basedOn w:val="Normal"/>
    <w:qFormat/>
    <w:rsid w:val="004D3DF9"/>
    <w:pPr>
      <w:spacing w:after="280"/>
    </w:pPr>
    <w:rPr>
      <w:rFonts w:ascii="Georgia" w:hAnsi="Georgia"/>
      <w:b/>
      <w:color w:val="BE9B39"/>
      <w:sz w:val="32"/>
      <w:szCs w:val="32"/>
    </w:rPr>
  </w:style>
  <w:style w:type="paragraph" w:customStyle="1" w:styleId="GTBodyCopy">
    <w:name w:val="GT Body Copy"/>
    <w:basedOn w:val="Normal"/>
    <w:qFormat/>
    <w:rsid w:val="004D3DF9"/>
    <w:pPr>
      <w:spacing w:after="280" w:line="300" w:lineRule="exact"/>
    </w:pPr>
    <w:rPr>
      <w:rFonts w:ascii="Georgia" w:hAnsi="Georgia"/>
      <w:sz w:val="22"/>
    </w:rPr>
  </w:style>
  <w:style w:type="character" w:styleId="Hyperlink">
    <w:name w:val="Hyperlink"/>
    <w:basedOn w:val="DefaultParagraphFont"/>
    <w:uiPriority w:val="99"/>
    <w:unhideWhenUsed/>
    <w:rsid w:val="00F15320"/>
    <w:rPr>
      <w:color w:val="6FC1E7"/>
      <w:u w:val="single"/>
    </w:rPr>
  </w:style>
  <w:style w:type="paragraph" w:customStyle="1" w:styleId="GTTitleGold">
    <w:name w:val="GT Title Gold"/>
    <w:basedOn w:val="Normal"/>
    <w:qFormat/>
    <w:rsid w:val="004D3DF9"/>
    <w:rPr>
      <w:rFonts w:ascii="Georgia" w:hAnsi="Georgia"/>
      <w:b/>
      <w:sz w:val="48"/>
      <w:szCs w:val="48"/>
    </w:rPr>
  </w:style>
  <w:style w:type="paragraph" w:customStyle="1" w:styleId="GTFooterGold">
    <w:name w:val="GT Footer Gold"/>
    <w:basedOn w:val="Normal"/>
    <w:qFormat/>
    <w:rsid w:val="004D3DF9"/>
    <w:pPr>
      <w:spacing w:after="240"/>
    </w:pPr>
    <w:rPr>
      <w:rFonts w:ascii="Arial" w:hAnsi="Arial" w:cs="Arial"/>
      <w:b/>
      <w:color w:val="BE9B39"/>
      <w:sz w:val="16"/>
      <w:szCs w:val="16"/>
    </w:rPr>
  </w:style>
  <w:style w:type="character" w:styleId="Strong">
    <w:name w:val="Strong"/>
    <w:basedOn w:val="DefaultParagraphFont"/>
    <w:uiPriority w:val="22"/>
    <w:qFormat/>
    <w:rsid w:val="001162BF"/>
    <w:rPr>
      <w:b/>
      <w:bCs/>
    </w:rPr>
  </w:style>
  <w:style w:type="character" w:customStyle="1" w:styleId="UnresolvedMention1">
    <w:name w:val="Unresolved Mention1"/>
    <w:basedOn w:val="DefaultParagraphFont"/>
    <w:uiPriority w:val="99"/>
    <w:semiHidden/>
    <w:unhideWhenUsed/>
    <w:rsid w:val="00604B6B"/>
    <w:rPr>
      <w:color w:val="605E5C"/>
      <w:shd w:val="clear" w:color="auto" w:fill="E1DFDD"/>
    </w:rPr>
  </w:style>
  <w:style w:type="paragraph" w:styleId="ListParagraph">
    <w:name w:val="List Paragraph"/>
    <w:basedOn w:val="Normal"/>
    <w:uiPriority w:val="34"/>
    <w:qFormat/>
    <w:rsid w:val="004678F5"/>
    <w:pPr>
      <w:ind w:left="720"/>
      <w:contextualSpacing/>
    </w:pPr>
  </w:style>
  <w:style w:type="paragraph" w:styleId="NormalWeb">
    <w:name w:val="Normal (Web)"/>
    <w:basedOn w:val="Normal"/>
    <w:uiPriority w:val="99"/>
    <w:semiHidden/>
    <w:unhideWhenUsed/>
    <w:rsid w:val="00BF50A2"/>
    <w:pPr>
      <w:spacing w:after="150"/>
    </w:pPr>
    <w:rPr>
      <w:rFonts w:eastAsia="Times New Roman" w:cs="Times New Roman"/>
    </w:rPr>
  </w:style>
  <w:style w:type="paragraph" w:styleId="BlockText">
    <w:name w:val="Block Text"/>
    <w:basedOn w:val="Normal"/>
    <w:uiPriority w:val="99"/>
    <w:semiHidden/>
    <w:unhideWhenUsed/>
    <w:rsid w:val="00EB0BB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gtlawinfo.com/collect/click.aspx?u=YVdkOGxKY2FLTlJnbGltTElpaE1MaGxPV1RjNlZYaTY3TnFqYmZWQkhzc2psbE1ZNGdwU3JtN25PbGtOM2h6MjVxWmZMcENRTld4R1JSNzdGbUpiMU9tWGRRQVYrQ1pqVk5CY1kzNHRTdFphWTFRbWlGdU0wdz09&amp;rh=ff008ded65871055b94350b3af4bbe4012a64e9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gif"/><Relationship Id="rId5" Type="http://schemas.openxmlformats.org/officeDocument/2006/relationships/image" Target="media/image1.jpeg"/><Relationship Id="rId10" Type="http://schemas.openxmlformats.org/officeDocument/2006/relationships/hyperlink" Target="http://www.gtlaw.com" TargetMode="External"/><Relationship Id="rId4" Type="http://schemas.openxmlformats.org/officeDocument/2006/relationships/webSettings" Target="webSettings.xml"/><Relationship Id="rId9" Type="http://schemas.openxmlformats.org/officeDocument/2006/relationships/hyperlink" Target="https://gtlawinfo.com/collect/click.aspx?u=YVdkOGxKY2FLTlJnbGltTElpaE1MaGxPV1RjNlZYaTZkUk9LOHY3NmgwYlRkNW94b05pbGErRk1maTFKZDBUbg==&amp;rh=ff008ded65871055b94350b3af4bbe4012a64e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329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Mangione, Sharon (Mgr-TPA-Mktg)</dc:creator>
  <cp:lastModifiedBy>Mangione, Sharon (Mgr-TPA-Mktg)</cp:lastModifiedBy>
  <cp:revision>4</cp:revision>
  <dcterms:created xsi:type="dcterms:W3CDTF">2022-05-25T14:53:00Z</dcterms:created>
  <dcterms:modified xsi:type="dcterms:W3CDTF">2022-06-02T23:38:00Z</dcterms:modified>
</cp:coreProperties>
</file>