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2927" w14:textId="77777777" w:rsidR="002346A8" w:rsidRDefault="002346A8">
      <w:pPr>
        <w:pStyle w:val="BodyCopy"/>
        <w:spacing w:after="0"/>
        <w:rPr>
          <w:vertAlign w:val="subscript"/>
        </w:rPr>
      </w:pPr>
      <w:bookmarkStart w:id="0" w:name="_Hlk198749254"/>
    </w:p>
    <w:bookmarkEnd w:id="0"/>
    <w:p w14:paraId="2A6C7B96" w14:textId="77777777" w:rsidR="002346A8" w:rsidRDefault="002346A8">
      <w:pPr>
        <w:pStyle w:val="GTDisclaimer"/>
      </w:pPr>
    </w:p>
    <w:p w14:paraId="1ECDE8BC" w14:textId="77777777" w:rsidR="00D07768" w:rsidRDefault="00D07768">
      <w:pPr>
        <w:pStyle w:val="GTDisclaimer"/>
      </w:pPr>
    </w:p>
    <w:p w14:paraId="5C663376" w14:textId="7078B0F4" w:rsidR="00D07768" w:rsidRDefault="0087100B" w:rsidP="0087100B">
      <w:pPr>
        <w:pStyle w:val="GTDisclaimer"/>
        <w:tabs>
          <w:tab w:val="left" w:pos="5135"/>
        </w:tabs>
      </w:pPr>
      <w:r>
        <w:tab/>
      </w:r>
    </w:p>
    <w:p w14:paraId="57D1146D" w14:textId="77777777" w:rsidR="00D07768" w:rsidRDefault="00D07768">
      <w:pPr>
        <w:pStyle w:val="GTDisclaimer"/>
      </w:pPr>
    </w:p>
    <w:p w14:paraId="0B097C48" w14:textId="77777777" w:rsidR="00D07768" w:rsidRDefault="00D07768">
      <w:pPr>
        <w:pStyle w:val="GTDisclaimer"/>
      </w:pPr>
    </w:p>
    <w:p w14:paraId="05F1921A" w14:textId="77777777" w:rsidR="00D07768" w:rsidRDefault="00D07768" w:rsidP="00D07768">
      <w:pPr>
        <w:pStyle w:val="GTDisclaimer"/>
        <w:jc w:val="both"/>
      </w:pPr>
    </w:p>
    <w:p w14:paraId="1F7EAEE9" w14:textId="5A079C9C" w:rsidR="00D07768" w:rsidRPr="007302BC" w:rsidRDefault="00895595" w:rsidP="00D07768">
      <w:pPr>
        <w:pStyle w:val="BodyCopy"/>
        <w:jc w:val="right"/>
        <w:rPr>
          <w:b/>
          <w:color w:val="956E09"/>
        </w:rPr>
      </w:pPr>
      <w:r>
        <w:rPr>
          <w:b/>
          <w:color w:val="956E09"/>
        </w:rPr>
        <w:t>May 2025</w:t>
      </w:r>
    </w:p>
    <w:p w14:paraId="6C0A80BA" w14:textId="49FE5A83" w:rsidR="001E3408" w:rsidRPr="001E3408" w:rsidRDefault="001E3408" w:rsidP="00895595">
      <w:pPr>
        <w:pStyle w:val="GTBodyCopy"/>
        <w:spacing w:before="240"/>
        <w:rPr>
          <w:rFonts w:cs="Arial"/>
          <w:b/>
          <w:bCs/>
          <w:color w:val="000000" w:themeColor="text1"/>
          <w:sz w:val="36"/>
          <w:szCs w:val="36"/>
        </w:rPr>
      </w:pPr>
      <w:r w:rsidRPr="001E3408">
        <w:rPr>
          <w:rFonts w:cs="Arial"/>
          <w:b/>
          <w:bCs/>
          <w:color w:val="000000" w:themeColor="text1"/>
          <w:sz w:val="36"/>
          <w:szCs w:val="36"/>
        </w:rPr>
        <w:t xml:space="preserve">Supreme Court Resolves Circuit Split on </w:t>
      </w:r>
      <w:r w:rsidR="005C4CC6" w:rsidRPr="001E3408">
        <w:rPr>
          <w:rFonts w:cs="Arial"/>
          <w:b/>
          <w:bCs/>
          <w:color w:val="000000" w:themeColor="text1"/>
          <w:sz w:val="36"/>
          <w:szCs w:val="36"/>
        </w:rPr>
        <w:t xml:space="preserve">Wire Fraud </w:t>
      </w:r>
      <w:r w:rsidR="005C4CC6">
        <w:rPr>
          <w:rFonts w:cs="Arial"/>
          <w:b/>
          <w:bCs/>
          <w:color w:val="000000" w:themeColor="text1"/>
          <w:sz w:val="36"/>
          <w:szCs w:val="36"/>
        </w:rPr>
        <w:t xml:space="preserve">and </w:t>
      </w:r>
      <w:r w:rsidRPr="001E3408">
        <w:rPr>
          <w:rFonts w:cs="Arial"/>
          <w:b/>
          <w:bCs/>
          <w:color w:val="000000" w:themeColor="text1"/>
          <w:sz w:val="36"/>
          <w:szCs w:val="36"/>
        </w:rPr>
        <w:t xml:space="preserve">Fraudulent Inducement </w:t>
      </w:r>
    </w:p>
    <w:p w14:paraId="2EAE0B12" w14:textId="5174CE0F" w:rsidR="001E3408" w:rsidRPr="001E3408" w:rsidRDefault="001E3408" w:rsidP="001E3408">
      <w:pPr>
        <w:pStyle w:val="GTBodyCopy"/>
      </w:pPr>
      <w:r w:rsidRPr="001E3408">
        <w:t xml:space="preserve">The Supreme Court resolved a circuit split on the scope of the federal wire fraud statute, 18 U.S.C. § 1343, in </w:t>
      </w:r>
      <w:r w:rsidRPr="00B0625E">
        <w:rPr>
          <w:i/>
          <w:iCs/>
        </w:rPr>
        <w:t>Kousisis v. United States</w:t>
      </w:r>
      <w:r w:rsidRPr="001E3408">
        <w:t>, 605 U.S. ___ (May 22, 2025). The case arose from the Pennsylvania Department of Transportation</w:t>
      </w:r>
      <w:r w:rsidR="007E1DB7">
        <w:t xml:space="preserve"> (PennDOT)</w:t>
      </w:r>
      <w:r w:rsidRPr="001E3408">
        <w:t xml:space="preserve"> solicit</w:t>
      </w:r>
      <w:r w:rsidR="007E1DB7">
        <w:t>ing</w:t>
      </w:r>
      <w:r w:rsidRPr="001E3408">
        <w:t xml:space="preserve"> bids for the restoration of historic buildings in Philadelphia. Because the project was funded with federal grant funds, those bidding on the project had to demonstrate that they worked with disadvantaged businesses as defined in federal regulation.  </w:t>
      </w:r>
    </w:p>
    <w:p w14:paraId="16D08B1D" w14:textId="09120578" w:rsidR="001E3408" w:rsidRPr="001E3408" w:rsidRDefault="001E3408" w:rsidP="001E3408">
      <w:pPr>
        <w:pStyle w:val="GTBodyCopy"/>
      </w:pPr>
      <w:r w:rsidRPr="001E3408">
        <w:t xml:space="preserve">Defendant </w:t>
      </w:r>
      <w:bookmarkStart w:id="1" w:name="_Hlk198809035"/>
      <w:r w:rsidRPr="001E3408">
        <w:t xml:space="preserve">Alpha Painting and Construction Co. </w:t>
      </w:r>
      <w:bookmarkEnd w:id="1"/>
      <w:r w:rsidRPr="001E3408">
        <w:t xml:space="preserve">secured the government contracts. Alpha represented in its bid that it would use a disadvantaged business as its supplier. But that representation proved false, and Alpha submitted false documentation to cover up its misrepresentation.  </w:t>
      </w:r>
    </w:p>
    <w:p w14:paraId="0EF81188" w14:textId="28D6E742" w:rsidR="001E3408" w:rsidRPr="001E3408" w:rsidRDefault="001E3408" w:rsidP="001E3408">
      <w:pPr>
        <w:pStyle w:val="GTBodyCopy"/>
      </w:pPr>
      <w:r w:rsidRPr="001E3408">
        <w:t>Alpha was charged and convicted of wire fraud. The government’s theory was that Alpha had fraudulently induced the PennDOT to enter into the contract and was therefore guilty of wire fraud. Alpha argued that mere fraudulent inducement was not sufficient to sustain a conviction under the federal wire fraud statute, 18 U.S.C. § 1343. Because it provided value to the government for its services, Alpha contended there was no net pecuniary loss and therefore no criminal fraud. The Supreme Court disagreed.</w:t>
      </w:r>
    </w:p>
    <w:p w14:paraId="635A2849" w14:textId="77777777" w:rsidR="007E1DB7" w:rsidRDefault="001E3408" w:rsidP="001E3408">
      <w:pPr>
        <w:pStyle w:val="GTBodyCopy"/>
      </w:pPr>
      <w:r w:rsidRPr="001E3408">
        <w:t xml:space="preserve">Wire fraud is committed when the perpetrator uses the wires to defraud the victim of “money or property.” </w:t>
      </w:r>
      <w:r w:rsidRPr="00B0625E">
        <w:rPr>
          <w:i/>
          <w:iCs/>
        </w:rPr>
        <w:t>Id</w:t>
      </w:r>
      <w:r w:rsidRPr="001E3408">
        <w:t xml:space="preserve">. The Court noted that the United States Circuit Courts of Appeal were divided on the question of whether a fraud conviction could stand “when the defendant did not seek to cause the victim net pecuniary loss.” Slip op. at 4. </w:t>
      </w:r>
    </w:p>
    <w:p w14:paraId="7294773F" w14:textId="29B36C9A" w:rsidR="001E3408" w:rsidRPr="001E3408" w:rsidRDefault="001E3408" w:rsidP="001E3408">
      <w:pPr>
        <w:pStyle w:val="GTBodyCopy"/>
      </w:pPr>
      <w:r w:rsidRPr="001E3408">
        <w:lastRenderedPageBreak/>
        <w:t xml:space="preserve">The Court resolved the split, holding that as long as the defendant “obtained” something through the fraudulent scheme, the statute was satisfied. </w:t>
      </w:r>
      <w:r w:rsidRPr="00B0625E">
        <w:rPr>
          <w:i/>
          <w:iCs/>
        </w:rPr>
        <w:t>Id</w:t>
      </w:r>
      <w:r w:rsidRPr="001E3408">
        <w:t xml:space="preserve">. at 7. Whether the defendant gave something in return, such as the restoration services Alpha provided, was not relevant because “the meaning of ‘obtain’ does not turn on the value of the exchanged items.” </w:t>
      </w:r>
      <w:r w:rsidRPr="00B0625E">
        <w:rPr>
          <w:i/>
          <w:iCs/>
        </w:rPr>
        <w:t>Id</w:t>
      </w:r>
      <w:r w:rsidRPr="001E3408">
        <w:t xml:space="preserve">. at 7-8. The Court said that “a defendant violates § 1343 by scheming to ‘obtain’ the victim’s ‘money or property,’ regardless of whether he seeks to leave the victim economically worse off. A conviction premised on fraudulent inducement thus comports with § 1343.” </w:t>
      </w:r>
      <w:r w:rsidRPr="00B0625E">
        <w:rPr>
          <w:i/>
          <w:iCs/>
        </w:rPr>
        <w:t>Id</w:t>
      </w:r>
      <w:r w:rsidRPr="001E3408">
        <w:t xml:space="preserve">. at 8. </w:t>
      </w:r>
    </w:p>
    <w:p w14:paraId="5EDE07DE" w14:textId="0FF9DF96" w:rsidR="00410A90" w:rsidRDefault="001E3408" w:rsidP="001E3408">
      <w:pPr>
        <w:pStyle w:val="GTBodyCopy"/>
      </w:pPr>
      <w:r w:rsidRPr="001E3408">
        <w:t>The case is significant because it resolves a circuit split and interprets a widely</w:t>
      </w:r>
      <w:r w:rsidR="007E1DB7">
        <w:t xml:space="preserve"> </w:t>
      </w:r>
      <w:r w:rsidRPr="001E3408">
        <w:t xml:space="preserve">used federal criminal statute. </w:t>
      </w:r>
      <w:r w:rsidR="00E44A1B" w:rsidRPr="00E44A1B">
        <w:t>The decision may also lead to prosecutors</w:t>
      </w:r>
      <w:r w:rsidR="00E44A1B">
        <w:t>’</w:t>
      </w:r>
      <w:r w:rsidR="00E44A1B" w:rsidRPr="00E44A1B">
        <w:t xml:space="preserve"> broader use of the wire fraud statute</w:t>
      </w:r>
      <w:r w:rsidR="00E44A1B">
        <w:t>.</w:t>
      </w:r>
      <w:r w:rsidR="00E44A1B" w:rsidRPr="00E44A1B">
        <w:t xml:space="preserve"> </w:t>
      </w:r>
    </w:p>
    <w:p w14:paraId="4B24EAA7" w14:textId="04EDADA4" w:rsidR="00D07768" w:rsidRDefault="00D07768" w:rsidP="00D07768">
      <w:pPr>
        <w:pStyle w:val="GTHeaderOption2"/>
      </w:pPr>
      <w:r>
        <w:t>Author</w:t>
      </w:r>
    </w:p>
    <w:p w14:paraId="624AE068" w14:textId="03CE7199" w:rsidR="00D07768" w:rsidRDefault="00D07768" w:rsidP="0087100B">
      <w:pPr>
        <w:pStyle w:val="GTBodyCopy"/>
      </w:pPr>
      <w:r>
        <w:t xml:space="preserve">This GT </w:t>
      </w:r>
      <w:r w:rsidR="00911234">
        <w:t>Alert</w:t>
      </w:r>
      <w:r>
        <w:t xml:space="preserve"> was prepared</w:t>
      </w:r>
      <w:r w:rsidR="00C90916">
        <w:t xml:space="preserve"> by</w:t>
      </w:r>
      <w:r>
        <w:t>:</w:t>
      </w:r>
    </w:p>
    <w:p w14:paraId="5B3D9091" w14:textId="4691F732" w:rsidR="004135F2" w:rsidRDefault="00D93577" w:rsidP="00D07768">
      <w:pPr>
        <w:pStyle w:val="GTBullets"/>
      </w:pPr>
      <w:hyperlink r:id="rId9" w:history="1">
        <w:r w:rsidR="00270495" w:rsidRPr="00AF7792">
          <w:rPr>
            <w:rStyle w:val="Hyperlink"/>
            <w:rFonts w:ascii="Georgia" w:hAnsi="Georgia"/>
            <w:sz w:val="20"/>
          </w:rPr>
          <w:t>Lorie Skjerven Gildea</w:t>
        </w:r>
      </w:hyperlink>
      <w:r w:rsidR="00911234">
        <w:t xml:space="preserve"> | </w:t>
      </w:r>
      <w:r w:rsidR="00895595" w:rsidRPr="00895595">
        <w:t>+1 612.259.9705</w:t>
      </w:r>
      <w:r w:rsidR="00911234">
        <w:t xml:space="preserve"> | </w:t>
      </w:r>
      <w:hyperlink r:id="rId10" w:history="1">
        <w:r w:rsidR="00895595" w:rsidRPr="00BB0EA6">
          <w:rPr>
            <w:rStyle w:val="Hyperlink"/>
            <w:rFonts w:ascii="Georgia" w:hAnsi="Georgia"/>
            <w:sz w:val="20"/>
          </w:rPr>
          <w:t>Lorie.Gildea@gtlaw.com</w:t>
        </w:r>
      </w:hyperlink>
      <w:r w:rsidR="00895595">
        <w:t xml:space="preserve"> </w:t>
      </w:r>
    </w:p>
    <w:p w14:paraId="0BCB4FD8" w14:textId="58F6D7F0" w:rsidR="00D00B33" w:rsidRPr="00A87C61" w:rsidRDefault="00D00B33" w:rsidP="173E7A29">
      <w:pPr>
        <w:pStyle w:val="GTCityList"/>
        <w:spacing w:before="240"/>
        <w:rPr>
          <w:color w:val="BE9B39" w:themeColor="accent1"/>
        </w:rPr>
      </w:pPr>
      <w:bookmarkStart w:id="2" w:name="_Hlk146645933"/>
      <w:r>
        <w:t>Albany</w:t>
      </w:r>
      <w:r w:rsidRPr="173E7A29">
        <w:rPr>
          <w:color w:val="BE9B39" w:themeColor="accent1"/>
        </w:rPr>
        <w:t>.</w:t>
      </w:r>
      <w:r>
        <w:t xml:space="preserve"> Amsterdam</w:t>
      </w:r>
      <w:r w:rsidRPr="173E7A29">
        <w:rPr>
          <w:color w:val="BE9B39" w:themeColor="accent1"/>
        </w:rPr>
        <w:t>.</w:t>
      </w:r>
      <w:r>
        <w:t xml:space="preserve"> Atlanta</w:t>
      </w:r>
      <w:r w:rsidRPr="173E7A29">
        <w:rPr>
          <w:color w:val="BE9B39" w:themeColor="accent1"/>
        </w:rPr>
        <w:t xml:space="preserve">. </w:t>
      </w:r>
      <w:r>
        <w:t>Austin</w:t>
      </w:r>
      <w:r w:rsidRPr="173E7A29">
        <w:rPr>
          <w:color w:val="BE9B39" w:themeColor="accent1"/>
        </w:rPr>
        <w:t>.</w:t>
      </w:r>
      <w:r>
        <w:t xml:space="preserve"> </w:t>
      </w:r>
      <w:r w:rsidR="00192B78">
        <w:t>Berlin</w:t>
      </w:r>
      <w:r w:rsidR="00192B78" w:rsidRPr="173E7A29">
        <w:rPr>
          <w:vertAlign w:val="superscript"/>
        </w:rPr>
        <w:t>¬</w:t>
      </w:r>
      <w:r w:rsidR="00A85D27" w:rsidRPr="173E7A29">
        <w:rPr>
          <w:color w:val="BE9B39" w:themeColor="accent1"/>
        </w:rPr>
        <w:t>.</w:t>
      </w:r>
      <w:r w:rsidR="00192B78">
        <w:t xml:space="preserve"> </w:t>
      </w:r>
      <w:r>
        <w:t>Boston</w:t>
      </w:r>
      <w:r w:rsidRPr="173E7A29">
        <w:rPr>
          <w:color w:val="BE9B39" w:themeColor="accent1"/>
        </w:rPr>
        <w:t>.</w:t>
      </w:r>
      <w:r>
        <w:t xml:space="preserve"> </w:t>
      </w:r>
      <w:r w:rsidR="001A183C">
        <w:t>Charlotte</w:t>
      </w:r>
      <w:r w:rsidR="001A183C" w:rsidRPr="173E7A29">
        <w:rPr>
          <w:color w:val="BE9B39" w:themeColor="accent1"/>
        </w:rPr>
        <w:t>.</w:t>
      </w:r>
      <w:r w:rsidR="001A183C">
        <w:t xml:space="preserve"> </w:t>
      </w:r>
      <w:r>
        <w:t>Chicago</w:t>
      </w:r>
      <w:r w:rsidRPr="173E7A29">
        <w:rPr>
          <w:color w:val="BE9B39" w:themeColor="accent1"/>
        </w:rPr>
        <w:t>.</w:t>
      </w:r>
      <w:r>
        <w:t xml:space="preserve"> Dallas</w:t>
      </w:r>
      <w:r w:rsidRPr="173E7A29">
        <w:rPr>
          <w:color w:val="BE9B39" w:themeColor="accent1"/>
        </w:rPr>
        <w:t>.</w:t>
      </w:r>
      <w:r>
        <w:t xml:space="preserve"> Delaware</w:t>
      </w:r>
      <w:r w:rsidRPr="173E7A29">
        <w:rPr>
          <w:color w:val="BE9B39" w:themeColor="accent1"/>
        </w:rPr>
        <w:t>.</w:t>
      </w:r>
      <w:r>
        <w:t xml:space="preserve"> Denver</w:t>
      </w:r>
      <w:r w:rsidRPr="173E7A29">
        <w:rPr>
          <w:color w:val="BE9B39" w:themeColor="accent1"/>
        </w:rPr>
        <w:t xml:space="preserve">. </w:t>
      </w:r>
      <w:r>
        <w:t>Fort Lauderdale</w:t>
      </w:r>
      <w:r w:rsidRPr="173E7A29">
        <w:rPr>
          <w:color w:val="BE9B39" w:themeColor="accent1"/>
        </w:rPr>
        <w:t>.</w:t>
      </w:r>
      <w:r>
        <w:t xml:space="preserve"> Houston</w:t>
      </w:r>
      <w:r w:rsidRPr="173E7A29">
        <w:rPr>
          <w:color w:val="BE9B39" w:themeColor="accent1"/>
        </w:rPr>
        <w:t>.</w:t>
      </w:r>
      <w:r>
        <w:t xml:space="preserve"> </w:t>
      </w:r>
      <w:r w:rsidR="00A87C61">
        <w:t>Kingdom of Saudi Arabia</w:t>
      </w:r>
      <w:r w:rsidR="00A87C61" w:rsidRPr="173E7A29">
        <w:rPr>
          <w:vertAlign w:val="superscript"/>
        </w:rPr>
        <w:t>«</w:t>
      </w:r>
      <w:r w:rsidR="000D1E75" w:rsidRPr="173E7A29">
        <w:rPr>
          <w:color w:val="BE9B39" w:themeColor="accent1"/>
        </w:rPr>
        <w:t>.</w:t>
      </w:r>
      <w:r w:rsidR="00A87C61">
        <w:t xml:space="preserve"> </w:t>
      </w:r>
      <w:r>
        <w:t>Las Vegas</w:t>
      </w:r>
      <w:r w:rsidRPr="173E7A29">
        <w:rPr>
          <w:color w:val="BE9B39" w:themeColor="accent1"/>
        </w:rPr>
        <w:t xml:space="preserve">. </w:t>
      </w:r>
      <w:r>
        <w:t>London</w:t>
      </w:r>
      <w:r w:rsidRPr="173E7A29">
        <w:rPr>
          <w:vertAlign w:val="superscript"/>
        </w:rPr>
        <w:t>*</w:t>
      </w:r>
      <w:r w:rsidR="000D1E75" w:rsidRPr="173E7A29">
        <w:rPr>
          <w:color w:val="BE9B39" w:themeColor="accent1"/>
        </w:rPr>
        <w:t>.</w:t>
      </w:r>
      <w:r w:rsidRPr="173E7A29">
        <w:rPr>
          <w:vertAlign w:val="superscript"/>
        </w:rPr>
        <w:t xml:space="preserve"> </w:t>
      </w:r>
      <w:r>
        <w:t>Long Island</w:t>
      </w:r>
      <w:r w:rsidRPr="173E7A29">
        <w:rPr>
          <w:color w:val="BE9B39" w:themeColor="accent1"/>
        </w:rPr>
        <w:t>.</w:t>
      </w:r>
      <w:r>
        <w:t xml:space="preserve"> Los Angeles</w:t>
      </w:r>
      <w:r w:rsidRPr="173E7A29">
        <w:rPr>
          <w:color w:val="BE9B39" w:themeColor="accent1"/>
        </w:rPr>
        <w:t>.</w:t>
      </w:r>
      <w:r>
        <w:t xml:space="preserve"> Mexico City</w:t>
      </w:r>
      <w:r w:rsidRPr="173E7A29">
        <w:rPr>
          <w:vertAlign w:val="superscript"/>
        </w:rPr>
        <w:t>+</w:t>
      </w:r>
      <w:r w:rsidR="000D1E75" w:rsidRPr="173E7A29">
        <w:rPr>
          <w:color w:val="BE9B39" w:themeColor="accent1"/>
        </w:rPr>
        <w:t>.</w:t>
      </w:r>
      <w:r w:rsidRPr="173E7A29">
        <w:rPr>
          <w:vertAlign w:val="superscript"/>
        </w:rPr>
        <w:t xml:space="preserve"> </w:t>
      </w:r>
      <w:r>
        <w:t>Miami</w:t>
      </w:r>
      <w:r w:rsidRPr="173E7A29">
        <w:rPr>
          <w:color w:val="BE9B39" w:themeColor="accent1"/>
        </w:rPr>
        <w:t>.</w:t>
      </w:r>
      <w:r>
        <w:t xml:space="preserve"> Milan</w:t>
      </w:r>
      <w:r w:rsidRPr="173E7A29">
        <w:rPr>
          <w:vertAlign w:val="superscript"/>
        </w:rPr>
        <w:t>»</w:t>
      </w:r>
      <w:r w:rsidR="000D1E75" w:rsidRPr="173E7A29">
        <w:rPr>
          <w:color w:val="BE9B39" w:themeColor="accent1"/>
        </w:rPr>
        <w:t>.</w:t>
      </w:r>
      <w:r w:rsidRPr="173E7A29">
        <w:rPr>
          <w:color w:val="BE9B39" w:themeColor="accent1"/>
        </w:rPr>
        <w:t xml:space="preserve"> </w:t>
      </w:r>
      <w:r>
        <w:t>Minneapolis</w:t>
      </w:r>
      <w:r w:rsidRPr="173E7A29">
        <w:rPr>
          <w:color w:val="BE9B39" w:themeColor="accent1"/>
        </w:rPr>
        <w:t xml:space="preserve">. </w:t>
      </w:r>
      <w:r w:rsidR="383E9786" w:rsidRPr="173E7A29">
        <w:t>Munich</w:t>
      </w:r>
      <w:r w:rsidR="73AE5B8E" w:rsidRPr="173E7A29">
        <w:rPr>
          <w:color w:val="000000" w:themeColor="text1"/>
        </w:rPr>
        <w:t>¬</w:t>
      </w:r>
      <w:r w:rsidR="383E9786" w:rsidRPr="173E7A29">
        <w:rPr>
          <w:color w:val="BE9B39" w:themeColor="accent1"/>
        </w:rPr>
        <w:t>.</w:t>
      </w:r>
      <w:r w:rsidR="383E9786" w:rsidRPr="173E7A29">
        <w:t xml:space="preserve"> </w:t>
      </w:r>
      <w:r>
        <w:t>New Jersey</w:t>
      </w:r>
      <w:r w:rsidRPr="173E7A29">
        <w:rPr>
          <w:color w:val="BE9B39" w:themeColor="accent1"/>
        </w:rPr>
        <w:t>.</w:t>
      </w:r>
      <w:r>
        <w:t xml:space="preserve"> New York</w:t>
      </w:r>
      <w:r w:rsidRPr="173E7A29">
        <w:rPr>
          <w:color w:val="BE9B39" w:themeColor="accent1"/>
        </w:rPr>
        <w:t>.</w:t>
      </w:r>
      <w:r>
        <w:t xml:space="preserve"> Northern Virginia</w:t>
      </w:r>
      <w:r w:rsidRPr="173E7A29">
        <w:rPr>
          <w:color w:val="BE9B39" w:themeColor="accent1"/>
        </w:rPr>
        <w:t>.</w:t>
      </w:r>
      <w:r>
        <w:t xml:space="preserve"> Orange County</w:t>
      </w:r>
      <w:r w:rsidRPr="173E7A29">
        <w:rPr>
          <w:color w:val="BE9B39" w:themeColor="accent1"/>
        </w:rPr>
        <w:t>.</w:t>
      </w:r>
      <w:r>
        <w:t xml:space="preserve"> Orlando</w:t>
      </w:r>
      <w:r w:rsidRPr="173E7A29">
        <w:rPr>
          <w:color w:val="BE9B39" w:themeColor="accent1"/>
        </w:rPr>
        <w:t>.</w:t>
      </w:r>
      <w:r>
        <w:t xml:space="preserve"> Philadelphia</w:t>
      </w:r>
      <w:r w:rsidRPr="173E7A29">
        <w:rPr>
          <w:color w:val="BE9B39" w:themeColor="accent1"/>
        </w:rPr>
        <w:t>.</w:t>
      </w:r>
      <w:r>
        <w:t xml:space="preserve"> Phoenix</w:t>
      </w:r>
      <w:r w:rsidRPr="173E7A29">
        <w:rPr>
          <w:color w:val="BE9B39" w:themeColor="accent1"/>
        </w:rPr>
        <w:t>.</w:t>
      </w:r>
      <w:r>
        <w:t xml:space="preserve"> Portland</w:t>
      </w:r>
      <w:r w:rsidRPr="173E7A29">
        <w:rPr>
          <w:color w:val="BE9B39" w:themeColor="accent1"/>
        </w:rPr>
        <w:t>.</w:t>
      </w:r>
      <w:r>
        <w:t xml:space="preserve"> Sacramento</w:t>
      </w:r>
      <w:r w:rsidRPr="173E7A29">
        <w:rPr>
          <w:color w:val="BE9B39" w:themeColor="accent1"/>
        </w:rPr>
        <w:t>.</w:t>
      </w:r>
      <w:r>
        <w:t xml:space="preserve"> Salt Lake City</w:t>
      </w:r>
      <w:r w:rsidRPr="173E7A29">
        <w:rPr>
          <w:color w:val="BE9B39" w:themeColor="accent1"/>
        </w:rPr>
        <w:t>.</w:t>
      </w:r>
      <w:r>
        <w:t xml:space="preserve"> </w:t>
      </w:r>
      <w:r w:rsidR="003253B5">
        <w:t xml:space="preserve">San Diego. </w:t>
      </w:r>
      <w:r>
        <w:t>San Francisco</w:t>
      </w:r>
      <w:r w:rsidRPr="173E7A29">
        <w:rPr>
          <w:color w:val="BE9B39" w:themeColor="accent1"/>
        </w:rPr>
        <w:t>.</w:t>
      </w:r>
      <w:r>
        <w:t xml:space="preserve"> </w:t>
      </w:r>
      <w:r w:rsidR="00B84E49" w:rsidRPr="173E7A29">
        <w:rPr>
          <w:lang w:val="es-MX"/>
        </w:rPr>
        <w:t>São Paulo›</w:t>
      </w:r>
      <w:r w:rsidR="000D1E75" w:rsidRPr="00895595">
        <w:rPr>
          <w:color w:val="BE9B39" w:themeColor="accent1"/>
          <w:lang w:val="es-MX"/>
        </w:rPr>
        <w:t xml:space="preserve">. </w:t>
      </w:r>
      <w:proofErr w:type="spellStart"/>
      <w:r w:rsidRPr="173E7A29">
        <w:rPr>
          <w:lang w:val="es-MX"/>
        </w:rPr>
        <w:t>Seoul</w:t>
      </w:r>
      <w:proofErr w:type="spellEnd"/>
      <w:r w:rsidRPr="173E7A29">
        <w:rPr>
          <w:vertAlign w:val="superscript"/>
          <w:lang w:val="es-MX"/>
        </w:rPr>
        <w:t>∞</w:t>
      </w:r>
      <w:r w:rsidR="00824EEB" w:rsidRPr="173E7A29">
        <w:rPr>
          <w:color w:val="BE9B39" w:themeColor="accent1"/>
          <w:lang w:val="es-MX"/>
        </w:rPr>
        <w:t>.</w:t>
      </w:r>
      <w:r w:rsidRPr="173E7A29">
        <w:rPr>
          <w:lang w:val="es-MX"/>
        </w:rPr>
        <w:t xml:space="preserve"> </w:t>
      </w:r>
      <w:proofErr w:type="spellStart"/>
      <w:r w:rsidRPr="173E7A29">
        <w:rPr>
          <w:lang w:val="es-MX"/>
        </w:rPr>
        <w:t>Shanghai</w:t>
      </w:r>
      <w:proofErr w:type="spellEnd"/>
      <w:r w:rsidRPr="173E7A29">
        <w:rPr>
          <w:color w:val="BE9B39" w:themeColor="accent1"/>
          <w:lang w:val="es-MX"/>
        </w:rPr>
        <w:t>.</w:t>
      </w:r>
      <w:r w:rsidRPr="173E7A29">
        <w:rPr>
          <w:lang w:val="es-MX"/>
        </w:rPr>
        <w:t xml:space="preserve"> Silicon Valley</w:t>
      </w:r>
      <w:r w:rsidRPr="173E7A29">
        <w:rPr>
          <w:color w:val="BE9B39" w:themeColor="accent1"/>
          <w:lang w:val="es-MX"/>
        </w:rPr>
        <w:t xml:space="preserve">. </w:t>
      </w:r>
      <w:proofErr w:type="spellStart"/>
      <w:r w:rsidR="003F76AD" w:rsidRPr="173E7A29">
        <w:rPr>
          <w:lang w:val="es-MX"/>
        </w:rPr>
        <w:t>Singapore</w:t>
      </w:r>
      <w:proofErr w:type="spellEnd"/>
      <w:r w:rsidR="008B29C7" w:rsidRPr="173E7A29">
        <w:rPr>
          <w:rFonts w:ascii="Times New Roman" w:hAnsi="Times New Roman"/>
          <w:color w:val="BE9B39" w:themeColor="accent1"/>
          <w:lang w:val="es-MX"/>
        </w:rPr>
        <w:t>⁼</w:t>
      </w:r>
      <w:r w:rsidR="00824EEB" w:rsidRPr="173E7A29">
        <w:rPr>
          <w:color w:val="BE9B39" w:themeColor="accent1"/>
          <w:lang w:val="es-MX"/>
        </w:rPr>
        <w:t>.</w:t>
      </w:r>
      <w:r w:rsidR="003F76AD" w:rsidRPr="173E7A29">
        <w:rPr>
          <w:color w:val="BE9B39" w:themeColor="accent1"/>
          <w:lang w:val="es-MX"/>
        </w:rPr>
        <w:t xml:space="preserve"> </w:t>
      </w:r>
      <w:r w:rsidRPr="173E7A29">
        <w:rPr>
          <w:lang w:val="es-MX"/>
        </w:rPr>
        <w:t>Tallahassee</w:t>
      </w:r>
      <w:r w:rsidRPr="173E7A29">
        <w:rPr>
          <w:color w:val="BE9B39" w:themeColor="accent1"/>
          <w:lang w:val="es-MX"/>
        </w:rPr>
        <w:t>.</w:t>
      </w:r>
      <w:r w:rsidRPr="173E7A29">
        <w:rPr>
          <w:lang w:val="es-MX"/>
        </w:rPr>
        <w:t xml:space="preserve"> Tampa</w:t>
      </w:r>
      <w:r w:rsidRPr="173E7A29">
        <w:rPr>
          <w:color w:val="BE9B39" w:themeColor="accent1"/>
          <w:lang w:val="es-MX"/>
        </w:rPr>
        <w:t>.</w:t>
      </w:r>
      <w:r w:rsidRPr="173E7A29">
        <w:rPr>
          <w:lang w:val="es-MX"/>
        </w:rPr>
        <w:t xml:space="preserve"> Tel Aviv</w:t>
      </w:r>
      <w:r w:rsidRPr="173E7A29">
        <w:rPr>
          <w:vertAlign w:val="superscript"/>
          <w:lang w:val="es-MX"/>
        </w:rPr>
        <w:t>^</w:t>
      </w:r>
      <w:r w:rsidR="00824EEB" w:rsidRPr="173E7A29">
        <w:rPr>
          <w:color w:val="BE9B39" w:themeColor="accent1"/>
          <w:lang w:val="es-MX"/>
        </w:rPr>
        <w:t>.</w:t>
      </w:r>
      <w:r w:rsidRPr="173E7A29">
        <w:rPr>
          <w:lang w:val="es-MX"/>
        </w:rPr>
        <w:t xml:space="preserve"> </w:t>
      </w:r>
      <w:r w:rsidRPr="00895595">
        <w:t>Tokyo</w:t>
      </w:r>
      <w:r w:rsidRPr="00895595">
        <w:rPr>
          <w:vertAlign w:val="superscript"/>
        </w:rPr>
        <w:t>¤</w:t>
      </w:r>
      <w:r w:rsidR="00824EEB" w:rsidRPr="00895595">
        <w:rPr>
          <w:color w:val="BE9B39" w:themeColor="accent1"/>
        </w:rPr>
        <w:t>.</w:t>
      </w:r>
      <w:r w:rsidRPr="00895595">
        <w:t xml:space="preserve"> </w:t>
      </w:r>
      <w:r w:rsidR="00645F85">
        <w:t>United Arab Emirates‹</w:t>
      </w:r>
      <w:r w:rsidR="00824EEB" w:rsidRPr="173E7A29">
        <w:rPr>
          <w:color w:val="BE9B39" w:themeColor="accent1"/>
        </w:rPr>
        <w:t>.</w:t>
      </w:r>
      <w:r w:rsidR="00645F85">
        <w:t xml:space="preserve"> </w:t>
      </w:r>
      <w:r>
        <w:t>Warsaw</w:t>
      </w:r>
      <w:r w:rsidRPr="173E7A29">
        <w:rPr>
          <w:vertAlign w:val="superscript"/>
        </w:rPr>
        <w:t>~</w:t>
      </w:r>
      <w:r w:rsidR="00824EEB" w:rsidRPr="173E7A29">
        <w:rPr>
          <w:color w:val="BE9B39" w:themeColor="accent1"/>
        </w:rPr>
        <w:t>.</w:t>
      </w:r>
      <w:r>
        <w:t xml:space="preserve"> Washington, D.C</w:t>
      </w:r>
      <w:r w:rsidRPr="173E7A29">
        <w:rPr>
          <w:color w:val="BE9B39" w:themeColor="accent1"/>
        </w:rPr>
        <w:t>.</w:t>
      </w:r>
      <w:r>
        <w:t xml:space="preserve"> West Palm Beach</w:t>
      </w:r>
      <w:r w:rsidRPr="173E7A29">
        <w:rPr>
          <w:color w:val="BE9B39" w:themeColor="accent1"/>
        </w:rPr>
        <w:t>.</w:t>
      </w:r>
      <w:r>
        <w:t xml:space="preserve"> Westchester Cou</w:t>
      </w:r>
      <w:r w:rsidRPr="173E7A29">
        <w:rPr>
          <w:color w:val="000000" w:themeColor="text1"/>
        </w:rPr>
        <w:t>nty</w:t>
      </w:r>
      <w:r w:rsidRPr="173E7A29">
        <w:rPr>
          <w:color w:val="BE9B39" w:themeColor="accent1"/>
        </w:rPr>
        <w:t>.</w:t>
      </w:r>
    </w:p>
    <w:bookmarkEnd w:id="2"/>
    <w:p w14:paraId="0844DA60" w14:textId="75EF3B2D" w:rsidR="00D07768" w:rsidRPr="00D07768" w:rsidRDefault="000549E3" w:rsidP="173E7A29">
      <w:pPr>
        <w:pStyle w:val="GTDisclaimer"/>
        <w:jc w:val="both"/>
        <w:rPr>
          <w:i w:val="0"/>
        </w:rPr>
      </w:pPr>
      <w:r>
        <w:t>This Greenberg Traurig Alert is issued for informational purposes only and is not intended to be construed or used as general legal advice nor as a solicitation of any type. Please contact the author(s) or your Greenberg Traurig contact if you have questions regarding the currency of this information. The hiring of a lawyer is an important decision. Before you decide, ask for written information about the lawyer's legal qualifications and experience. Greenberg Traurig is a service mark and trade name of Greenberg Traurig, LLP and Greenberg Traurig, P.A. ¬</w:t>
      </w:r>
      <w:r w:rsidR="015E9FB1" w:rsidRPr="173E7A29">
        <w:rPr>
          <w:iCs/>
          <w:color w:val="000000" w:themeColor="text1"/>
        </w:rPr>
        <w:t>Greenberg Traurig's Berlin and Munich offices are operated by Greenberg Traurig Germany, LLP, an affiliate of Greenberg Traurig, P.A. and Greenberg Traurig, LLP</w:t>
      </w:r>
      <w:r>
        <w:t>. *Operates as a separate UK registered legal entity.</w:t>
      </w:r>
      <w:r w:rsidR="00A87C61">
        <w:t xml:space="preserve"> «Greenberg Traurig operates in the Kingdom of Saudi Arabia through Greenberg Traurig Khalid Al-Thebity Law Firm, a professional limited liability company, licensed to practice law by the Ministry of Justice.</w:t>
      </w:r>
      <w:r>
        <w:t xml:space="preserve"> +Greenberg Traurig's Mexico City office is operated by Greenberg Traurig, S.C., an affiliate of Greenberg Traurig, P.A. and Greenberg Traurig, LLP. »</w:t>
      </w:r>
      <w:r w:rsidR="10EDF39D" w:rsidRPr="173E7A29">
        <w:rPr>
          <w:iCs/>
          <w:color w:val="000000" w:themeColor="text1"/>
        </w:rPr>
        <w:t xml:space="preserve">Greenberg Traurig’s Milan office is operated by Greenberg Traurig Studio Legal </w:t>
      </w:r>
      <w:proofErr w:type="spellStart"/>
      <w:r w:rsidR="10EDF39D" w:rsidRPr="173E7A29">
        <w:rPr>
          <w:iCs/>
          <w:color w:val="000000" w:themeColor="text1"/>
        </w:rPr>
        <w:t>Associato</w:t>
      </w:r>
      <w:proofErr w:type="spellEnd"/>
      <w:r w:rsidR="10EDF39D" w:rsidRPr="173E7A29">
        <w:rPr>
          <w:iCs/>
          <w:color w:val="000000" w:themeColor="text1"/>
        </w:rPr>
        <w:t>, an affiliate of Greenberg Traurig, P.A. and Greenberg Traurig, LLP</w:t>
      </w:r>
      <w:r>
        <w:t>.</w:t>
      </w:r>
      <w:r w:rsidR="003F2041">
        <w:t xml:space="preserve"> ›Greenberg Traurig’s São Paulo office is operated by Greenberg Traurig Brazil </w:t>
      </w:r>
      <w:proofErr w:type="spellStart"/>
      <w:r w:rsidR="003F2041">
        <w:t>Consultores</w:t>
      </w:r>
      <w:proofErr w:type="spellEnd"/>
      <w:r w:rsidR="003F2041">
        <w:t xml:space="preserve"> </w:t>
      </w:r>
      <w:proofErr w:type="spellStart"/>
      <w:r w:rsidR="003F2041">
        <w:t>em</w:t>
      </w:r>
      <w:proofErr w:type="spellEnd"/>
      <w:r w:rsidR="003F2041">
        <w:t xml:space="preserve"> </w:t>
      </w:r>
      <w:proofErr w:type="spellStart"/>
      <w:r w:rsidR="003F2041">
        <w:t>Direito</w:t>
      </w:r>
      <w:proofErr w:type="spellEnd"/>
      <w:r w:rsidR="003F2041">
        <w:t xml:space="preserve"> </w:t>
      </w:r>
      <w:proofErr w:type="spellStart"/>
      <w:r w:rsidR="003F2041">
        <w:t>Estrangeiro</w:t>
      </w:r>
      <w:proofErr w:type="spellEnd"/>
      <w:r w:rsidR="003F2041">
        <w:t xml:space="preserve"> – </w:t>
      </w:r>
      <w:proofErr w:type="spellStart"/>
      <w:r w:rsidR="003F2041">
        <w:t>Direito</w:t>
      </w:r>
      <w:proofErr w:type="spellEnd"/>
      <w:r w:rsidR="003F2041">
        <w:t xml:space="preserve"> </w:t>
      </w:r>
      <w:proofErr w:type="spellStart"/>
      <w:r w:rsidR="003F2041">
        <w:t>Estadunidense</w:t>
      </w:r>
      <w:proofErr w:type="spellEnd"/>
      <w:r w:rsidR="003F2041">
        <w:t xml:space="preserve">, incorporated in Brazil as a foreign legal consulting firm. Attorneys in the São Paulo office </w:t>
      </w:r>
      <w:proofErr w:type="gramStart"/>
      <w:r w:rsidR="003F2041">
        <w:t>do</w:t>
      </w:r>
      <w:proofErr w:type="gramEnd"/>
      <w:r w:rsidR="003F2041">
        <w:t xml:space="preserve"> not practice Brazilian law.</w:t>
      </w:r>
      <w:r>
        <w:t xml:space="preserve"> ∞Operates as Greenberg Traurig LLP Foreign Legal Consultant Office. </w:t>
      </w:r>
      <w:r w:rsidRPr="173E7A29">
        <w:rPr>
          <w:rFonts w:ascii="Cambria Math" w:hAnsi="Cambria Math" w:cs="Cambria Math"/>
        </w:rPr>
        <w:t>⁼</w:t>
      </w:r>
      <w:r>
        <w:t xml:space="preserve">Greenberg Traurig’s Singapore office is operated by Greenberg Traurig Singapore LLP which is licensed as a foreign law practice in Singapore. ^Greenberg Traurig's Tel Aviv office is a branch of Greenberg Traurig, P.A., Florida, USA. ¤Greenberg Traurig’s Tokyo Office is operated by GT Tokyo </w:t>
      </w:r>
      <w:proofErr w:type="spellStart"/>
      <w:r>
        <w:t>Horitsu</w:t>
      </w:r>
      <w:proofErr w:type="spellEnd"/>
      <w:r>
        <w:t xml:space="preserve"> </w:t>
      </w:r>
      <w:proofErr w:type="spellStart"/>
      <w:r>
        <w:t>Jimusho</w:t>
      </w:r>
      <w:proofErr w:type="spellEnd"/>
      <w:r>
        <w:t xml:space="preserve"> and Greenberg Traurig </w:t>
      </w:r>
      <w:proofErr w:type="spellStart"/>
      <w:r>
        <w:t>Gaikokuhojimubengoshi</w:t>
      </w:r>
      <w:proofErr w:type="spellEnd"/>
      <w:r>
        <w:t xml:space="preserve"> </w:t>
      </w:r>
      <w:proofErr w:type="spellStart"/>
      <w:r>
        <w:t>Jimusho</w:t>
      </w:r>
      <w:proofErr w:type="spellEnd"/>
      <w:r>
        <w:t xml:space="preserve">, affiliates of Greenberg Traurig, P.A. and Greenberg Traurig, LLP. ‹Greenberg Traurig’s United Arab Emirates office is operated by Greenberg Traurig Limited. ~Greenberg Traurig's Warsaw office is operated by GREENBERG TRAURIG Nowakowska-Zimoch </w:t>
      </w:r>
      <w:proofErr w:type="spellStart"/>
      <w:r>
        <w:t>Wysokiński</w:t>
      </w:r>
      <w:proofErr w:type="spellEnd"/>
      <w:r>
        <w:t xml:space="preserve"> </w:t>
      </w:r>
      <w:proofErr w:type="spellStart"/>
      <w:r>
        <w:t>sp.k</w:t>
      </w:r>
      <w:proofErr w:type="spellEnd"/>
      <w:r>
        <w:t xml:space="preserve">., an affiliate of Greenberg Traurig, P.A. and Greenberg Traurig, LLP. Certain partners in GREENBERG TRAURIG Nowakowska-Zimoch </w:t>
      </w:r>
      <w:proofErr w:type="spellStart"/>
      <w:r>
        <w:t>Wysokiński</w:t>
      </w:r>
      <w:proofErr w:type="spellEnd"/>
      <w:r>
        <w:t xml:space="preserve"> </w:t>
      </w:r>
      <w:proofErr w:type="spellStart"/>
      <w:r>
        <w:t>sp.k</w:t>
      </w:r>
      <w:proofErr w:type="spellEnd"/>
      <w:r>
        <w:t>. are also shareholders in Greenberg Traurig, P.A. Images in this advertisement do not depict Greenberg Traurig attorneys, clients, staff or facilities. No aspect of this advertisement has been approved by the Supreme Court of New Jersey. ©202</w:t>
      </w:r>
      <w:r w:rsidR="4588180C">
        <w:t>5</w:t>
      </w:r>
      <w:r>
        <w:t xml:space="preserve"> Greenberg Traurig, LLP. All rights reserved.</w:t>
      </w:r>
    </w:p>
    <w:sectPr w:rsidR="00D07768" w:rsidRPr="00D0776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2329" w14:textId="77777777" w:rsidR="00AF5E99" w:rsidRDefault="00AF5E99">
      <w:r>
        <w:separator/>
      </w:r>
    </w:p>
  </w:endnote>
  <w:endnote w:type="continuationSeparator" w:id="0">
    <w:p w14:paraId="67D4E971" w14:textId="77777777" w:rsidR="00AF5E99" w:rsidRDefault="00AF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5785" w14:textId="77777777" w:rsidR="00DA775B" w:rsidRDefault="00DA7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B6DE" w14:textId="3DDC8C19" w:rsidR="00E531DF" w:rsidRPr="002C0197" w:rsidRDefault="00E531DF" w:rsidP="002C0197">
    <w:pPr>
      <w:pStyle w:val="Footer"/>
      <w:tabs>
        <w:tab w:val="clear" w:pos="4680"/>
        <w:tab w:val="clear" w:pos="9360"/>
        <w:tab w:val="right" w:pos="10080"/>
      </w:tabs>
      <w:ind w:left="-720" w:right="-720"/>
      <w:rPr>
        <w:rFonts w:ascii="Arial" w:hAnsi="Arial" w:cs="Arial"/>
        <w:color w:val="5C5C5C"/>
        <w:sz w:val="16"/>
        <w:szCs w:val="16"/>
      </w:rPr>
    </w:pPr>
    <w:r w:rsidRPr="007302BC">
      <w:rPr>
        <w:rFonts w:ascii="Arial" w:hAnsi="Arial" w:cs="Arial"/>
        <w:noProof/>
        <w:color w:val="956E09"/>
        <w:sz w:val="16"/>
        <w:szCs w:val="16"/>
      </w:rPr>
      <mc:AlternateContent>
        <mc:Choice Requires="wps">
          <w:drawing>
            <wp:anchor distT="0" distB="0" distL="114300" distR="114300" simplePos="0" relativeHeight="251664384" behindDoc="0" locked="0" layoutInCell="1" allowOverlap="1" wp14:anchorId="32DD2E07" wp14:editId="6A3B920A">
              <wp:simplePos x="0" y="0"/>
              <wp:positionH relativeFrom="column">
                <wp:posOffset>-453390</wp:posOffset>
              </wp:positionH>
              <wp:positionV relativeFrom="paragraph">
                <wp:posOffset>-196850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CBAF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76D9438"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15.5pt" to="504.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" strokecolor="#cbaf60" strokeweight=".5pt">
              <v:stroke joinstyle="miter"/>
            </v:line>
          </w:pict>
        </mc:Fallback>
      </mc:AlternateContent>
    </w:r>
    <w:r w:rsidR="22A0E463">
      <w:rPr>
        <w:rFonts w:ascii="Arial" w:hAnsi="Arial" w:cs="Arial"/>
        <w:color w:val="898989"/>
        <w:sz w:val="16"/>
        <w:szCs w:val="16"/>
      </w:rPr>
      <w:t>©</w:t>
    </w:r>
    <w:r w:rsidR="22A0E463">
      <w:rPr>
        <w:rFonts w:ascii="Arial" w:hAnsi="Arial" w:cs="Arial"/>
        <w:color w:val="5C5C5C"/>
        <w:sz w:val="16"/>
        <w:szCs w:val="16"/>
      </w:rPr>
      <w:t xml:space="preserve"> </w:t>
    </w:r>
    <w:r w:rsidR="22A0E463">
      <w:rPr>
        <w:rFonts w:ascii="Arial" w:hAnsi="Arial" w:cs="Arial"/>
        <w:color w:val="898989"/>
        <w:sz w:val="16"/>
        <w:szCs w:val="16"/>
      </w:rPr>
      <w:t xml:space="preserve">2025 Greenberg Traurig, LLP </w:t>
    </w:r>
    <w:r>
      <w:rPr>
        <w:rFonts w:ascii="Arial" w:hAnsi="Arial" w:cs="Arial"/>
        <w:color w:val="898989"/>
        <w:sz w:val="16"/>
        <w:szCs w:val="16"/>
      </w:rPr>
      <w:tab/>
    </w:r>
    <w:r w:rsidR="22A0E463" w:rsidRPr="007302BC">
      <w:rPr>
        <w:rFonts w:ascii="Arial" w:hAnsi="Arial" w:cs="Arial"/>
        <w:color w:val="956E09"/>
        <w:sz w:val="16"/>
        <w:szCs w:val="16"/>
      </w:rPr>
      <w:t xml:space="preserve">www.gtlaw.com </w:t>
    </w:r>
    <w:r w:rsidR="22A0E463">
      <w:rPr>
        <w:rFonts w:ascii="Arial" w:hAnsi="Arial" w:cs="Arial"/>
        <w:color w:val="2D2D2D"/>
        <w:sz w:val="16"/>
        <w:szCs w:val="16"/>
      </w:rPr>
      <w:t xml:space="preserve">| </w:t>
    </w:r>
    <w:r w:rsidRPr="22A0E463">
      <w:rPr>
        <w:rFonts w:ascii="Arial" w:hAnsi="Arial" w:cs="Arial"/>
        <w:color w:val="2D2D2D"/>
        <w:sz w:val="16"/>
        <w:szCs w:val="16"/>
      </w:rPr>
      <w:fldChar w:fldCharType="begin"/>
    </w:r>
    <w:r>
      <w:rPr>
        <w:rFonts w:ascii="Arial" w:hAnsi="Arial" w:cs="Arial"/>
        <w:color w:val="2D2D2D"/>
        <w:sz w:val="16"/>
        <w:szCs w:val="16"/>
      </w:rPr>
      <w:instrText xml:space="preserve"> PAGE   \* MERGEFORMAT </w:instrText>
    </w:r>
    <w:r w:rsidRPr="22A0E463">
      <w:rPr>
        <w:rFonts w:ascii="Arial" w:hAnsi="Arial" w:cs="Arial"/>
        <w:color w:val="2D2D2D"/>
        <w:sz w:val="16"/>
        <w:szCs w:val="16"/>
      </w:rPr>
      <w:fldChar w:fldCharType="separate"/>
    </w:r>
    <w:r w:rsidR="22A0E463">
      <w:rPr>
        <w:rFonts w:ascii="Arial" w:hAnsi="Arial" w:cs="Arial"/>
        <w:color w:val="2D2D2D"/>
        <w:sz w:val="16"/>
        <w:szCs w:val="16"/>
      </w:rPr>
      <w:t>1</w:t>
    </w:r>
    <w:r w:rsidRPr="22A0E463">
      <w:rPr>
        <w:rFonts w:ascii="Arial" w:hAnsi="Arial" w:cs="Arial"/>
        <w:noProof/>
        <w:color w:val="2D2D2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153B" w14:textId="7D87ACD6" w:rsidR="00E531DF" w:rsidRPr="004539FE" w:rsidRDefault="22A0E463" w:rsidP="004539FE">
    <w:pPr>
      <w:pStyle w:val="Footer"/>
      <w:tabs>
        <w:tab w:val="clear" w:pos="4680"/>
        <w:tab w:val="clear" w:pos="9360"/>
        <w:tab w:val="right" w:pos="10080"/>
      </w:tabs>
      <w:ind w:left="-720" w:right="-720"/>
      <w:rPr>
        <w:rFonts w:ascii="Arial" w:hAnsi="Arial" w:cs="Arial"/>
        <w:color w:val="5C5C5C"/>
        <w:sz w:val="16"/>
        <w:szCs w:val="16"/>
      </w:rPr>
    </w:pPr>
    <w:r w:rsidRPr="22A0E463">
      <w:rPr>
        <w:rFonts w:ascii="Arial" w:hAnsi="Arial" w:cs="Arial"/>
        <w:color w:val="898989"/>
        <w:sz w:val="16"/>
        <w:szCs w:val="16"/>
      </w:rPr>
      <w:t>©</w:t>
    </w:r>
    <w:r w:rsidRPr="22A0E463">
      <w:rPr>
        <w:rFonts w:ascii="Arial" w:hAnsi="Arial" w:cs="Arial"/>
        <w:color w:val="5C5C5C"/>
        <w:sz w:val="16"/>
        <w:szCs w:val="16"/>
      </w:rPr>
      <w:t xml:space="preserve"> </w:t>
    </w:r>
    <w:r w:rsidRPr="22A0E463">
      <w:rPr>
        <w:rFonts w:ascii="Arial" w:hAnsi="Arial" w:cs="Arial"/>
        <w:color w:val="898989"/>
        <w:sz w:val="16"/>
        <w:szCs w:val="16"/>
      </w:rPr>
      <w:t xml:space="preserve">2025 Greenberg Traurig, LLP </w:t>
    </w:r>
    <w:r w:rsidR="00E531D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AD13" w14:textId="77777777" w:rsidR="00AF5E99" w:rsidRDefault="00AF5E99">
      <w:r>
        <w:separator/>
      </w:r>
    </w:p>
  </w:footnote>
  <w:footnote w:type="continuationSeparator" w:id="0">
    <w:p w14:paraId="74DE38AE" w14:textId="77777777" w:rsidR="00AF5E99" w:rsidRDefault="00AF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BAFD" w14:textId="77777777" w:rsidR="00DA775B" w:rsidRDefault="00DA7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FC6A" w14:textId="77777777" w:rsidR="002346A8" w:rsidRDefault="00545351">
    <w:pPr>
      <w:pStyle w:val="Header"/>
      <w:ind w:left="-720"/>
    </w:pPr>
    <w:r>
      <w:rPr>
        <w:noProof/>
      </w:rPr>
      <w:drawing>
        <wp:inline distT="0" distB="0" distL="0" distR="0" wp14:anchorId="5C6BDA44" wp14:editId="30A15306">
          <wp:extent cx="1581150" cy="254550"/>
          <wp:effectExtent l="0" t="0" r="0" b="0"/>
          <wp:docPr id="393278321" name="Picture 39327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_Black_bio.jpg"/>
                  <pic:cNvPicPr/>
                </pic:nvPicPr>
                <pic:blipFill>
                  <a:blip r:embed="rId1">
                    <a:extLst>
                      <a:ext uri="{28A0092B-C50C-407E-A947-70E740481C1C}">
                        <a14:useLocalDpi xmlns:a14="http://schemas.microsoft.com/office/drawing/2010/main" val="0"/>
                      </a:ext>
                    </a:extLst>
                  </a:blip>
                  <a:stretch>
                    <a:fillRect/>
                  </a:stretch>
                </pic:blipFill>
                <pic:spPr>
                  <a:xfrm>
                    <a:off x="0" y="0"/>
                    <a:ext cx="1581150" cy="254550"/>
                  </a:xfrm>
                  <a:prstGeom prst="rect">
                    <a:avLst/>
                  </a:prstGeom>
                </pic:spPr>
              </pic:pic>
            </a:graphicData>
          </a:graphic>
        </wp:inline>
      </w:drawing>
    </w:r>
  </w:p>
  <w:p w14:paraId="1C582030" w14:textId="77777777" w:rsidR="002346A8" w:rsidRDefault="00545351">
    <w:pPr>
      <w:pStyle w:val="Header"/>
      <w:ind w:left="-720"/>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2072" w14:textId="096C94D6" w:rsidR="002346A8" w:rsidRDefault="00DA775B">
    <w:pPr>
      <w:pStyle w:val="Header"/>
      <w:ind w:left="-1080"/>
    </w:pPr>
    <w:r>
      <w:rPr>
        <w:noProof/>
      </w:rPr>
      <mc:AlternateContent>
        <mc:Choice Requires="wps">
          <w:drawing>
            <wp:anchor distT="0" distB="0" distL="114300" distR="114300" simplePos="0" relativeHeight="251662336" behindDoc="0" locked="0" layoutInCell="1" allowOverlap="1" wp14:anchorId="14677DA0" wp14:editId="583B44DA">
              <wp:simplePos x="0" y="0"/>
              <wp:positionH relativeFrom="column">
                <wp:posOffset>-302895</wp:posOffset>
              </wp:positionH>
              <wp:positionV relativeFrom="paragraph">
                <wp:posOffset>1257935</wp:posOffset>
              </wp:positionV>
              <wp:extent cx="6705600" cy="64176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6705600" cy="641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80B2C" w14:textId="524C8974" w:rsidR="00827251" w:rsidRPr="007E1DB7" w:rsidRDefault="004135F2" w:rsidP="00827251">
                          <w:pPr>
                            <w:rPr>
                              <w:rFonts w:ascii="Georgia" w:hAnsi="Georgia"/>
                              <w:b/>
                              <w:color w:val="FFFFFF" w:themeColor="background1"/>
                              <w:sz w:val="44"/>
                              <w:szCs w:val="44"/>
                            </w:rPr>
                          </w:pPr>
                          <w:r w:rsidRPr="007E1DB7">
                            <w:rPr>
                              <w:rFonts w:ascii="Georgia" w:hAnsi="Georgia"/>
                              <w:b/>
                              <w:color w:val="BE9B39"/>
                              <w:sz w:val="44"/>
                              <w:szCs w:val="44"/>
                            </w:rPr>
                            <w:t>A</w:t>
                          </w:r>
                          <w:r w:rsidR="00911234" w:rsidRPr="007E1DB7">
                            <w:rPr>
                              <w:rFonts w:ascii="Georgia" w:hAnsi="Georgia"/>
                              <w:b/>
                              <w:color w:val="BE9B39"/>
                              <w:sz w:val="44"/>
                              <w:szCs w:val="44"/>
                            </w:rPr>
                            <w:t>lert</w:t>
                          </w:r>
                          <w:r w:rsidR="00545351" w:rsidRPr="007E1DB7">
                            <w:rPr>
                              <w:rFonts w:ascii="Georgia" w:hAnsi="Georgia"/>
                              <w:b/>
                              <w:color w:val="BE9B39" w:themeColor="accent1"/>
                              <w:sz w:val="44"/>
                              <w:szCs w:val="44"/>
                            </w:rPr>
                            <w:t xml:space="preserve"> |</w:t>
                          </w:r>
                          <w:r w:rsidR="00545351" w:rsidRPr="007E1DB7">
                            <w:rPr>
                              <w:rFonts w:ascii="Georgia" w:hAnsi="Georgia"/>
                              <w:b/>
                              <w:color w:val="FFFFFF" w:themeColor="background1"/>
                              <w:sz w:val="44"/>
                              <w:szCs w:val="44"/>
                            </w:rPr>
                            <w:t xml:space="preserve"> </w:t>
                          </w:r>
                          <w:r w:rsidR="00895595" w:rsidRPr="007E1DB7">
                            <w:rPr>
                              <w:rFonts w:ascii="Georgia" w:hAnsi="Georgia"/>
                              <w:b/>
                              <w:color w:val="FFFFFF" w:themeColor="background1"/>
                              <w:sz w:val="44"/>
                              <w:szCs w:val="44"/>
                            </w:rPr>
                            <w:t>Appeals &amp; Legal Issue</w:t>
                          </w:r>
                          <w:r w:rsidR="007E1DB7" w:rsidRPr="007E1DB7">
                            <w:rPr>
                              <w:rFonts w:ascii="Georgia" w:hAnsi="Georgia"/>
                              <w:b/>
                              <w:color w:val="FFFFFF" w:themeColor="background1"/>
                              <w:sz w:val="44"/>
                              <w:szCs w:val="44"/>
                            </w:rPr>
                            <w:t>s</w:t>
                          </w:r>
                        </w:p>
                        <w:p w14:paraId="5493E986" w14:textId="0C892011" w:rsidR="00E531DF" w:rsidRPr="00E531DF" w:rsidRDefault="00E531DF">
                          <w:pPr>
                            <w:rPr>
                              <w:rFonts w:ascii="Georgia" w:hAnsi="Georgia"/>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77DA0" id="_x0000_t202" coordsize="21600,21600" o:spt="202" path="m,l,21600r21600,l21600,xe">
              <v:stroke joinstyle="miter"/>
              <v:path gradientshapeok="t" o:connecttype="rect"/>
            </v:shapetype>
            <v:shape id="Text Box 5" o:spid="_x0000_s1026" type="#_x0000_t202" style="position:absolute;left:0;text-align:left;margin-left:-23.85pt;margin-top:99.05pt;width:528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" filled="f" stroked="f" strokeweight=".5pt">
              <v:textbox>
                <w:txbxContent>
                  <w:p w14:paraId="23980B2C" w14:textId="524C8974" w:rsidR="00827251" w:rsidRPr="007E1DB7" w:rsidRDefault="004135F2" w:rsidP="00827251">
                    <w:pPr>
                      <w:rPr>
                        <w:rFonts w:ascii="Georgia" w:hAnsi="Georgia"/>
                        <w:b/>
                        <w:color w:val="FFFFFF" w:themeColor="background1"/>
                        <w:sz w:val="44"/>
                        <w:szCs w:val="44"/>
                      </w:rPr>
                    </w:pPr>
                    <w:r w:rsidRPr="007E1DB7">
                      <w:rPr>
                        <w:rFonts w:ascii="Georgia" w:hAnsi="Georgia"/>
                        <w:b/>
                        <w:color w:val="BE9B39"/>
                        <w:sz w:val="44"/>
                        <w:szCs w:val="44"/>
                      </w:rPr>
                      <w:t>A</w:t>
                    </w:r>
                    <w:r w:rsidR="00911234" w:rsidRPr="007E1DB7">
                      <w:rPr>
                        <w:rFonts w:ascii="Georgia" w:hAnsi="Georgia"/>
                        <w:b/>
                        <w:color w:val="BE9B39"/>
                        <w:sz w:val="44"/>
                        <w:szCs w:val="44"/>
                      </w:rPr>
                      <w:t>lert</w:t>
                    </w:r>
                    <w:r w:rsidR="00545351" w:rsidRPr="007E1DB7">
                      <w:rPr>
                        <w:rFonts w:ascii="Georgia" w:hAnsi="Georgia"/>
                        <w:b/>
                        <w:color w:val="BE9B39" w:themeColor="accent1"/>
                        <w:sz w:val="44"/>
                        <w:szCs w:val="44"/>
                      </w:rPr>
                      <w:t xml:space="preserve"> |</w:t>
                    </w:r>
                    <w:r w:rsidR="00545351" w:rsidRPr="007E1DB7">
                      <w:rPr>
                        <w:rFonts w:ascii="Georgia" w:hAnsi="Georgia"/>
                        <w:b/>
                        <w:color w:val="FFFFFF" w:themeColor="background1"/>
                        <w:sz w:val="44"/>
                        <w:szCs w:val="44"/>
                      </w:rPr>
                      <w:t xml:space="preserve"> </w:t>
                    </w:r>
                    <w:r w:rsidR="00895595" w:rsidRPr="007E1DB7">
                      <w:rPr>
                        <w:rFonts w:ascii="Georgia" w:hAnsi="Georgia"/>
                        <w:b/>
                        <w:color w:val="FFFFFF" w:themeColor="background1"/>
                        <w:sz w:val="44"/>
                        <w:szCs w:val="44"/>
                      </w:rPr>
                      <w:t>Appeals &amp; Legal Issue</w:t>
                    </w:r>
                    <w:r w:rsidR="007E1DB7" w:rsidRPr="007E1DB7">
                      <w:rPr>
                        <w:rFonts w:ascii="Georgia" w:hAnsi="Georgia"/>
                        <w:b/>
                        <w:color w:val="FFFFFF" w:themeColor="background1"/>
                        <w:sz w:val="44"/>
                        <w:szCs w:val="44"/>
                      </w:rPr>
                      <w:t>s</w:t>
                    </w:r>
                  </w:p>
                  <w:p w14:paraId="5493E986" w14:textId="0C892011" w:rsidR="00E531DF" w:rsidRPr="00E531DF" w:rsidRDefault="00E531DF">
                    <w:pPr>
                      <w:rPr>
                        <w:rFonts w:ascii="Georgia" w:hAnsi="Georgia"/>
                        <w:b/>
                        <w:color w:val="FFFFFF" w:themeColor="background1"/>
                        <w:sz w:val="40"/>
                        <w:szCs w:val="40"/>
                      </w:rPr>
                    </w:pPr>
                  </w:p>
                </w:txbxContent>
              </v:textbox>
            </v:shape>
          </w:pict>
        </mc:Fallback>
      </mc:AlternateContent>
    </w:r>
    <w:r w:rsidR="001634CC">
      <w:rPr>
        <w:noProof/>
      </w:rPr>
      <w:drawing>
        <wp:anchor distT="0" distB="0" distL="114300" distR="114300" simplePos="0" relativeHeight="251658239" behindDoc="1" locked="0" layoutInCell="1" allowOverlap="1" wp14:anchorId="089EFF26" wp14:editId="14518238">
          <wp:simplePos x="0" y="0"/>
          <wp:positionH relativeFrom="margin">
            <wp:posOffset>-685800</wp:posOffset>
          </wp:positionH>
          <wp:positionV relativeFrom="margin">
            <wp:posOffset>-945851</wp:posOffset>
          </wp:positionV>
          <wp:extent cx="7315200" cy="2743200"/>
          <wp:effectExtent l="0" t="0" r="0" b="0"/>
          <wp:wrapNone/>
          <wp:docPr id="393278325" name="Picture 39327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78325" name="Picture 393278325"/>
                  <pic:cNvPicPr/>
                </pic:nvPicPr>
                <pic:blipFill>
                  <a:blip r:embed="rId1"/>
                  <a:stretch>
                    <a:fillRect/>
                  </a:stretch>
                </pic:blipFill>
                <pic:spPr>
                  <a:xfrm>
                    <a:off x="0" y="0"/>
                    <a:ext cx="7315200" cy="2743200"/>
                  </a:xfrm>
                  <a:prstGeom prst="rect">
                    <a:avLst/>
                  </a:prstGeom>
                </pic:spPr>
              </pic:pic>
            </a:graphicData>
          </a:graphic>
          <wp14:sizeRelH relativeFrom="page">
            <wp14:pctWidth>0</wp14:pctWidth>
          </wp14:sizeRelH>
          <wp14:sizeRelV relativeFrom="page">
            <wp14:pctHeight>0</wp14:pctHeight>
          </wp14:sizeRelV>
        </wp:anchor>
      </w:drawing>
    </w:r>
    <w:r w:rsidR="00545351">
      <w:rPr>
        <w:noProof/>
      </w:rPr>
      <w:drawing>
        <wp:inline distT="0" distB="0" distL="0" distR="0" wp14:anchorId="17B7AEBE" wp14:editId="7CB76B30">
          <wp:extent cx="7315200" cy="197494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ALert_Masthead.jpg"/>
                  <pic:cNvPicPr/>
                </pic:nvPicPr>
                <pic:blipFill>
                  <a:blip r:embed="rId2">
                    <a:extLst>
                      <a:ext uri="{28A0092B-C50C-407E-A947-70E740481C1C}">
                        <a14:useLocalDpi xmlns:a14="http://schemas.microsoft.com/office/drawing/2010/main" val="0"/>
                      </a:ext>
                    </a:extLst>
                  </a:blip>
                  <a:stretch>
                    <a:fillRect/>
                  </a:stretch>
                </pic:blipFill>
                <pic:spPr>
                  <a:xfrm>
                    <a:off x="0" y="0"/>
                    <a:ext cx="7315200" cy="1974948"/>
                  </a:xfrm>
                  <a:prstGeom prst="rect">
                    <a:avLst/>
                  </a:prstGeom>
                </pic:spPr>
              </pic:pic>
            </a:graphicData>
          </a:graphic>
        </wp:inline>
      </w:drawing>
    </w:r>
    <w:r w:rsidR="00545351">
      <w:br/>
    </w:r>
  </w:p>
  <w:p w14:paraId="0DE09F71" w14:textId="77777777" w:rsidR="002346A8" w:rsidRDefault="009D4112" w:rsidP="0037659D">
    <w:pPr>
      <w:pStyle w:val="Header"/>
      <w:tabs>
        <w:tab w:val="clear" w:pos="4680"/>
        <w:tab w:val="clear" w:pos="9360"/>
        <w:tab w:val="left" w:pos="3525"/>
        <w:tab w:val="left" w:pos="6810"/>
      </w:tabs>
      <w:ind w:left="-1080"/>
    </w:pPr>
    <w:r>
      <w:tab/>
    </w:r>
    <w:r w:rsidR="0037659D">
      <w:tab/>
    </w:r>
  </w:p>
  <w:p w14:paraId="7D51666C" w14:textId="77777777" w:rsidR="002346A8" w:rsidRDefault="00545351">
    <w:pPr>
      <w:pStyle w:val="Header"/>
      <w:ind w:left="-1080"/>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3F00C26"/>
    <w:lvl w:ilvl="0">
      <w:start w:val="1"/>
      <w:numFmt w:val="decimal"/>
      <w:lvlText w:val="%1."/>
      <w:lvlJc w:val="left"/>
      <w:pPr>
        <w:tabs>
          <w:tab w:val="num" w:pos="1080"/>
        </w:tabs>
        <w:ind w:left="1080" w:hanging="360"/>
      </w:pPr>
    </w:lvl>
  </w:abstractNum>
  <w:abstractNum w:abstractNumId="1" w15:restartNumberingAfterBreak="0">
    <w:nsid w:val="FFFFFF89"/>
    <w:multiLevelType w:val="singleLevel"/>
    <w:tmpl w:val="495A6E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42EA1"/>
    <w:multiLevelType w:val="hybridMultilevel"/>
    <w:tmpl w:val="6C00C5E4"/>
    <w:lvl w:ilvl="0" w:tplc="A09AB9DE">
      <w:start w:val="1"/>
      <w:numFmt w:val="bullet"/>
      <w:lvlText w:val=""/>
      <w:lvlJc w:val="left"/>
      <w:pPr>
        <w:ind w:left="1440" w:hanging="360"/>
      </w:pPr>
      <w:rPr>
        <w:rFonts w:ascii="Symbol" w:hAnsi="Symbol" w:hint="default"/>
        <w:color w:val="BE9B39"/>
      </w:rPr>
    </w:lvl>
    <w:lvl w:ilvl="1" w:tplc="480C50E2">
      <w:start w:val="1"/>
      <w:numFmt w:val="bullet"/>
      <w:pStyle w:val="GTBullets"/>
      <w:lvlText w:val=""/>
      <w:lvlJc w:val="left"/>
      <w:pPr>
        <w:ind w:left="4320" w:hanging="360"/>
      </w:pPr>
      <w:rPr>
        <w:rFonts w:ascii="Symbol" w:hAnsi="Symbol" w:hint="default"/>
        <w:color w:val="0D7D9C"/>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01F22"/>
    <w:multiLevelType w:val="hybridMultilevel"/>
    <w:tmpl w:val="2604B4A4"/>
    <w:lvl w:ilvl="0" w:tplc="0D4A0C68">
      <w:start w:val="1"/>
      <w:numFmt w:val="bullet"/>
      <w:lvlText w:val=""/>
      <w:lvlJc w:val="left"/>
      <w:pPr>
        <w:ind w:left="1440" w:hanging="504"/>
      </w:pPr>
      <w:rPr>
        <w:rFonts w:ascii="Wingdings" w:hAnsi="Wingdings" w:hint="default"/>
        <w:color w:val="CBAF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91FB0"/>
    <w:multiLevelType w:val="hybridMultilevel"/>
    <w:tmpl w:val="1C86A14A"/>
    <w:lvl w:ilvl="0" w:tplc="388EEA12">
      <w:start w:val="1"/>
      <w:numFmt w:val="bullet"/>
      <w:lvlText w:val=""/>
      <w:lvlJc w:val="left"/>
      <w:pPr>
        <w:ind w:left="1440" w:hanging="360"/>
      </w:pPr>
      <w:rPr>
        <w:rFonts w:ascii="Wingdings" w:hAnsi="Wingdings" w:hint="default"/>
        <w:color w:val="CBAF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601"/>
    <w:multiLevelType w:val="hybridMultilevel"/>
    <w:tmpl w:val="F2901060"/>
    <w:lvl w:ilvl="0" w:tplc="11A2B202">
      <w:start w:val="1"/>
      <w:numFmt w:val="bullet"/>
      <w:lvlText w:val=""/>
      <w:lvlJc w:val="left"/>
      <w:pPr>
        <w:ind w:left="1224" w:hanging="288"/>
      </w:pPr>
      <w:rPr>
        <w:rFonts w:ascii="Wingdings" w:hAnsi="Wingdings" w:hint="default"/>
        <w:color w:val="CBAF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EE194B"/>
    <w:multiLevelType w:val="multilevel"/>
    <w:tmpl w:val="1C86A14A"/>
    <w:lvl w:ilvl="0">
      <w:start w:val="1"/>
      <w:numFmt w:val="bullet"/>
      <w:lvlText w:val=""/>
      <w:lvlJc w:val="left"/>
      <w:pPr>
        <w:ind w:left="1440" w:hanging="360"/>
      </w:pPr>
      <w:rPr>
        <w:rFonts w:ascii="Wingdings" w:hAnsi="Wingdings" w:hint="default"/>
        <w:color w:val="CBAF6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5457FC4"/>
    <w:multiLevelType w:val="multilevel"/>
    <w:tmpl w:val="4F8C27A0"/>
    <w:styleLink w:val="GTBulletedList-list"/>
    <w:lvl w:ilvl="0">
      <w:start w:val="1"/>
      <w:numFmt w:val="bullet"/>
      <w:lvlText w:val=""/>
      <w:lvlJc w:val="left"/>
      <w:pPr>
        <w:ind w:left="360" w:hanging="360"/>
      </w:pPr>
      <w:rPr>
        <w:rFonts w:ascii="Symbol" w:hAnsi="Symbol" w:hint="default"/>
        <w:b/>
        <w:i w:val="0"/>
        <w:color w:val="8FD400"/>
        <w:sz w:val="16"/>
      </w:rPr>
    </w:lvl>
    <w:lvl w:ilvl="1">
      <w:start w:val="1"/>
      <w:numFmt w:val="bullet"/>
      <w:lvlText w:val="–"/>
      <w:lvlJc w:val="left"/>
      <w:pPr>
        <w:ind w:left="720" w:hanging="360"/>
      </w:pPr>
      <w:rPr>
        <w:rFonts w:ascii="Calibri" w:hAnsi="Calibri" w:hint="default"/>
        <w:color w:val="80808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319303CA"/>
    <w:multiLevelType w:val="multilevel"/>
    <w:tmpl w:val="A7B8CA3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8D0343F"/>
    <w:multiLevelType w:val="multilevel"/>
    <w:tmpl w:val="AEDA7668"/>
    <w:lvl w:ilvl="0">
      <w:start w:val="1"/>
      <w:numFmt w:val="bullet"/>
      <w:lvlText w:val=""/>
      <w:lvlJc w:val="left"/>
      <w:pPr>
        <w:ind w:left="1224" w:hanging="288"/>
      </w:pPr>
      <w:rPr>
        <w:rFonts w:ascii="Wingdings" w:hAnsi="Wingdings" w:hint="default"/>
        <w:color w:val="CBAF6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E690F22"/>
    <w:multiLevelType w:val="hybridMultilevel"/>
    <w:tmpl w:val="408CB426"/>
    <w:lvl w:ilvl="0" w:tplc="A09AB9DE">
      <w:start w:val="1"/>
      <w:numFmt w:val="bullet"/>
      <w:lvlText w:val=""/>
      <w:lvlJc w:val="left"/>
      <w:pPr>
        <w:ind w:left="1440" w:hanging="360"/>
      </w:pPr>
      <w:rPr>
        <w:rFonts w:ascii="Symbol" w:hAnsi="Symbol" w:hint="default"/>
        <w:color w:val="BE9B39"/>
      </w:rPr>
    </w:lvl>
    <w:lvl w:ilvl="1" w:tplc="A09AB9DE">
      <w:start w:val="1"/>
      <w:numFmt w:val="bullet"/>
      <w:lvlText w:val=""/>
      <w:lvlJc w:val="left"/>
      <w:pPr>
        <w:ind w:left="1440" w:hanging="360"/>
      </w:pPr>
      <w:rPr>
        <w:rFonts w:ascii="Symbol" w:hAnsi="Symbol" w:hint="default"/>
        <w:color w:val="BE9B39"/>
      </w:rPr>
    </w:lvl>
    <w:lvl w:ilvl="2" w:tplc="CE96025E">
      <w:numFmt w:val="bullet"/>
      <w:pStyle w:val="GTSub-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42BB1"/>
    <w:multiLevelType w:val="hybridMultilevel"/>
    <w:tmpl w:val="BBA09ACA"/>
    <w:lvl w:ilvl="0" w:tplc="9BDCE57A">
      <w:start w:val="1"/>
      <w:numFmt w:val="bullet"/>
      <w:lvlText w:val=""/>
      <w:lvlJc w:val="left"/>
      <w:pPr>
        <w:ind w:left="360" w:hanging="360"/>
      </w:pPr>
      <w:rPr>
        <w:rFonts w:ascii="Symbol" w:hAnsi="Symbol" w:hint="default"/>
        <w:b/>
        <w:i w:val="0"/>
        <w:color w:val="8FD400"/>
        <w:sz w:val="16"/>
      </w:rPr>
    </w:lvl>
    <w:lvl w:ilvl="1" w:tplc="329625C4">
      <w:start w:val="1"/>
      <w:numFmt w:val="bullet"/>
      <w:lvlText w:val="–"/>
      <w:lvlJc w:val="left"/>
      <w:pPr>
        <w:ind w:left="1440" w:hanging="360"/>
      </w:pPr>
      <w:rPr>
        <w:rFonts w:ascii="Calibri" w:hAnsi="Calibri" w:hint="default"/>
        <w:color w:val="808080"/>
      </w:rPr>
    </w:lvl>
    <w:lvl w:ilvl="2" w:tplc="14A2D52A">
      <w:start w:val="1"/>
      <w:numFmt w:val="bullet"/>
      <w:lvlText w:val=""/>
      <w:lvlJc w:val="left"/>
      <w:pPr>
        <w:ind w:left="2160" w:hanging="360"/>
      </w:pPr>
      <w:rPr>
        <w:rFonts w:ascii="Wingdings" w:hAnsi="Wingdings" w:hint="default"/>
      </w:rPr>
    </w:lvl>
    <w:lvl w:ilvl="3" w:tplc="6D0A7C3E">
      <w:start w:val="1"/>
      <w:numFmt w:val="bullet"/>
      <w:lvlText w:val=""/>
      <w:lvlJc w:val="left"/>
      <w:pPr>
        <w:ind w:left="2880" w:hanging="360"/>
      </w:pPr>
      <w:rPr>
        <w:rFonts w:ascii="Symbol" w:hAnsi="Symbol" w:hint="default"/>
      </w:rPr>
    </w:lvl>
    <w:lvl w:ilvl="4" w:tplc="F1FAA618" w:tentative="1">
      <w:start w:val="1"/>
      <w:numFmt w:val="bullet"/>
      <w:lvlText w:val="o"/>
      <w:lvlJc w:val="left"/>
      <w:pPr>
        <w:ind w:left="3600" w:hanging="360"/>
      </w:pPr>
      <w:rPr>
        <w:rFonts w:ascii="Courier New" w:hAnsi="Courier New" w:cs="Courier New" w:hint="default"/>
      </w:rPr>
    </w:lvl>
    <w:lvl w:ilvl="5" w:tplc="8D6007AE" w:tentative="1">
      <w:start w:val="1"/>
      <w:numFmt w:val="bullet"/>
      <w:lvlText w:val=""/>
      <w:lvlJc w:val="left"/>
      <w:pPr>
        <w:ind w:left="4320" w:hanging="360"/>
      </w:pPr>
      <w:rPr>
        <w:rFonts w:ascii="Wingdings" w:hAnsi="Wingdings" w:hint="default"/>
      </w:rPr>
    </w:lvl>
    <w:lvl w:ilvl="6" w:tplc="E6BC69BA" w:tentative="1">
      <w:start w:val="1"/>
      <w:numFmt w:val="bullet"/>
      <w:lvlText w:val=""/>
      <w:lvlJc w:val="left"/>
      <w:pPr>
        <w:ind w:left="5040" w:hanging="360"/>
      </w:pPr>
      <w:rPr>
        <w:rFonts w:ascii="Symbol" w:hAnsi="Symbol" w:hint="default"/>
      </w:rPr>
    </w:lvl>
    <w:lvl w:ilvl="7" w:tplc="865AA052" w:tentative="1">
      <w:start w:val="1"/>
      <w:numFmt w:val="bullet"/>
      <w:lvlText w:val="o"/>
      <w:lvlJc w:val="left"/>
      <w:pPr>
        <w:ind w:left="5760" w:hanging="360"/>
      </w:pPr>
      <w:rPr>
        <w:rFonts w:ascii="Courier New" w:hAnsi="Courier New" w:cs="Courier New" w:hint="default"/>
      </w:rPr>
    </w:lvl>
    <w:lvl w:ilvl="8" w:tplc="FD428EAA" w:tentative="1">
      <w:start w:val="1"/>
      <w:numFmt w:val="bullet"/>
      <w:lvlText w:val=""/>
      <w:lvlJc w:val="left"/>
      <w:pPr>
        <w:ind w:left="6480" w:hanging="360"/>
      </w:pPr>
      <w:rPr>
        <w:rFonts w:ascii="Wingdings" w:hAnsi="Wingdings" w:hint="default"/>
      </w:rPr>
    </w:lvl>
  </w:abstractNum>
  <w:abstractNum w:abstractNumId="12" w15:restartNumberingAfterBreak="0">
    <w:nsid w:val="4AFA2508"/>
    <w:multiLevelType w:val="multilevel"/>
    <w:tmpl w:val="2604B4A4"/>
    <w:lvl w:ilvl="0">
      <w:start w:val="1"/>
      <w:numFmt w:val="bullet"/>
      <w:lvlText w:val=""/>
      <w:lvlJc w:val="left"/>
      <w:pPr>
        <w:ind w:left="1440" w:hanging="504"/>
      </w:pPr>
      <w:rPr>
        <w:rFonts w:ascii="Wingdings" w:hAnsi="Wingdings" w:hint="default"/>
        <w:color w:val="CBAF6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8F5652C"/>
    <w:multiLevelType w:val="hybridMultilevel"/>
    <w:tmpl w:val="54849F46"/>
    <w:lvl w:ilvl="0" w:tplc="A09AB9DE">
      <w:start w:val="1"/>
      <w:numFmt w:val="bullet"/>
      <w:lvlText w:val=""/>
      <w:lvlJc w:val="left"/>
      <w:pPr>
        <w:ind w:left="1440" w:hanging="360"/>
      </w:pPr>
      <w:rPr>
        <w:rFonts w:ascii="Symbol" w:hAnsi="Symbol" w:hint="default"/>
        <w:color w:val="BE9B39"/>
      </w:rPr>
    </w:lvl>
    <w:lvl w:ilvl="1" w:tplc="C422D7FE">
      <w:start w:val="1"/>
      <w:numFmt w:val="bullet"/>
      <w:lvlText w:val=""/>
      <w:lvlJc w:val="left"/>
      <w:pPr>
        <w:ind w:left="1440" w:hanging="360"/>
      </w:pPr>
      <w:rPr>
        <w:rFonts w:ascii="Symbol" w:hAnsi="Symbol" w:hint="default"/>
        <w:color w:val="93D3F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50729"/>
    <w:multiLevelType w:val="hybridMultilevel"/>
    <w:tmpl w:val="AEDA7668"/>
    <w:lvl w:ilvl="0" w:tplc="1EAE4C38">
      <w:start w:val="1"/>
      <w:numFmt w:val="bullet"/>
      <w:lvlText w:val=""/>
      <w:lvlJc w:val="left"/>
      <w:pPr>
        <w:ind w:left="1224" w:hanging="288"/>
      </w:pPr>
      <w:rPr>
        <w:rFonts w:ascii="Wingdings" w:hAnsi="Wingdings" w:hint="default"/>
        <w:color w:val="CBAF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D65919"/>
    <w:multiLevelType w:val="hybridMultilevel"/>
    <w:tmpl w:val="7E2C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059C4"/>
    <w:multiLevelType w:val="multilevel"/>
    <w:tmpl w:val="4F8C27A0"/>
    <w:numStyleLink w:val="GTBulletedList-list"/>
  </w:abstractNum>
  <w:abstractNum w:abstractNumId="17" w15:restartNumberingAfterBreak="0">
    <w:nsid w:val="6D0059C6"/>
    <w:multiLevelType w:val="multilevel"/>
    <w:tmpl w:val="4F8C27A0"/>
    <w:numStyleLink w:val="GTBulletedList-list"/>
  </w:abstractNum>
  <w:abstractNum w:abstractNumId="18" w15:restartNumberingAfterBreak="0">
    <w:nsid w:val="6E2D792E"/>
    <w:multiLevelType w:val="hybridMultilevel"/>
    <w:tmpl w:val="642A04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B0BA7"/>
    <w:multiLevelType w:val="hybridMultilevel"/>
    <w:tmpl w:val="690C7ACA"/>
    <w:lvl w:ilvl="0" w:tplc="A09AB9DE">
      <w:start w:val="1"/>
      <w:numFmt w:val="bullet"/>
      <w:lvlText w:val=""/>
      <w:lvlJc w:val="left"/>
      <w:pPr>
        <w:ind w:left="1440" w:hanging="360"/>
      </w:pPr>
      <w:rPr>
        <w:rFonts w:ascii="Symbol" w:hAnsi="Symbol" w:hint="default"/>
        <w:color w:val="BE9B3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E3EE0"/>
    <w:multiLevelType w:val="hybridMultilevel"/>
    <w:tmpl w:val="C0786D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076285">
    <w:abstractNumId w:val="4"/>
  </w:num>
  <w:num w:numId="2" w16cid:durableId="1470510601">
    <w:abstractNumId w:val="8"/>
  </w:num>
  <w:num w:numId="3" w16cid:durableId="456146109">
    <w:abstractNumId w:val="6"/>
  </w:num>
  <w:num w:numId="4" w16cid:durableId="949044244">
    <w:abstractNumId w:val="3"/>
  </w:num>
  <w:num w:numId="5" w16cid:durableId="886836972">
    <w:abstractNumId w:val="12"/>
  </w:num>
  <w:num w:numId="6" w16cid:durableId="1626813919">
    <w:abstractNumId w:val="14"/>
  </w:num>
  <w:num w:numId="7" w16cid:durableId="60059142">
    <w:abstractNumId w:val="9"/>
  </w:num>
  <w:num w:numId="8" w16cid:durableId="1714618443">
    <w:abstractNumId w:val="5"/>
  </w:num>
  <w:num w:numId="9" w16cid:durableId="1961301246">
    <w:abstractNumId w:val="13"/>
  </w:num>
  <w:num w:numId="10" w16cid:durableId="773284481">
    <w:abstractNumId w:val="10"/>
  </w:num>
  <w:num w:numId="11" w16cid:durableId="1934703730">
    <w:abstractNumId w:val="11"/>
  </w:num>
  <w:num w:numId="12" w16cid:durableId="1791901564">
    <w:abstractNumId w:val="7"/>
  </w:num>
  <w:num w:numId="13" w16cid:durableId="535892843">
    <w:abstractNumId w:val="16"/>
  </w:num>
  <w:num w:numId="14" w16cid:durableId="1124468026">
    <w:abstractNumId w:val="17"/>
  </w:num>
  <w:num w:numId="15" w16cid:durableId="1029526727">
    <w:abstractNumId w:val="0"/>
  </w:num>
  <w:num w:numId="16" w16cid:durableId="1754933269">
    <w:abstractNumId w:val="19"/>
  </w:num>
  <w:num w:numId="17" w16cid:durableId="941498757">
    <w:abstractNumId w:val="2"/>
  </w:num>
  <w:num w:numId="18" w16cid:durableId="580061063">
    <w:abstractNumId w:val="1"/>
  </w:num>
  <w:num w:numId="19" w16cid:durableId="632566432">
    <w:abstractNumId w:val="18"/>
  </w:num>
  <w:num w:numId="20" w16cid:durableId="2011711163">
    <w:abstractNumId w:val="20"/>
  </w:num>
  <w:num w:numId="21" w16cid:durableId="5978354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A8"/>
    <w:rsid w:val="000025C5"/>
    <w:rsid w:val="00022767"/>
    <w:rsid w:val="000549E3"/>
    <w:rsid w:val="0006547D"/>
    <w:rsid w:val="000809BE"/>
    <w:rsid w:val="000B4774"/>
    <w:rsid w:val="000C1F58"/>
    <w:rsid w:val="000D1E75"/>
    <w:rsid w:val="000F39D7"/>
    <w:rsid w:val="00103EEB"/>
    <w:rsid w:val="00142139"/>
    <w:rsid w:val="0015677B"/>
    <w:rsid w:val="001634CC"/>
    <w:rsid w:val="00172EF7"/>
    <w:rsid w:val="0017486A"/>
    <w:rsid w:val="001758BF"/>
    <w:rsid w:val="00187584"/>
    <w:rsid w:val="00192B78"/>
    <w:rsid w:val="00193809"/>
    <w:rsid w:val="001A183C"/>
    <w:rsid w:val="001D6A0A"/>
    <w:rsid w:val="001E3408"/>
    <w:rsid w:val="002073FB"/>
    <w:rsid w:val="00213110"/>
    <w:rsid w:val="002201F1"/>
    <w:rsid w:val="002346A8"/>
    <w:rsid w:val="00255933"/>
    <w:rsid w:val="00263135"/>
    <w:rsid w:val="00270495"/>
    <w:rsid w:val="002A52CD"/>
    <w:rsid w:val="002B09FC"/>
    <w:rsid w:val="002B1C00"/>
    <w:rsid w:val="002B3E98"/>
    <w:rsid w:val="002C560A"/>
    <w:rsid w:val="002E1169"/>
    <w:rsid w:val="002F2952"/>
    <w:rsid w:val="00315674"/>
    <w:rsid w:val="00322F9F"/>
    <w:rsid w:val="00323B61"/>
    <w:rsid w:val="003253B5"/>
    <w:rsid w:val="003515B6"/>
    <w:rsid w:val="0036659C"/>
    <w:rsid w:val="0037659D"/>
    <w:rsid w:val="00395019"/>
    <w:rsid w:val="003A4DB1"/>
    <w:rsid w:val="003C18D6"/>
    <w:rsid w:val="003D110A"/>
    <w:rsid w:val="003D34DB"/>
    <w:rsid w:val="003F0843"/>
    <w:rsid w:val="003F2041"/>
    <w:rsid w:val="003F76AD"/>
    <w:rsid w:val="00410A90"/>
    <w:rsid w:val="004135F2"/>
    <w:rsid w:val="00433D05"/>
    <w:rsid w:val="00443DF3"/>
    <w:rsid w:val="00444A33"/>
    <w:rsid w:val="00473694"/>
    <w:rsid w:val="0049477D"/>
    <w:rsid w:val="004B4C1C"/>
    <w:rsid w:val="004E2360"/>
    <w:rsid w:val="00515C9E"/>
    <w:rsid w:val="00530B47"/>
    <w:rsid w:val="00545351"/>
    <w:rsid w:val="00552515"/>
    <w:rsid w:val="00556D6E"/>
    <w:rsid w:val="0057002F"/>
    <w:rsid w:val="005711C4"/>
    <w:rsid w:val="00575354"/>
    <w:rsid w:val="005819A1"/>
    <w:rsid w:val="005825C5"/>
    <w:rsid w:val="005859F5"/>
    <w:rsid w:val="005A32D9"/>
    <w:rsid w:val="005A597A"/>
    <w:rsid w:val="005C21F5"/>
    <w:rsid w:val="005C4CC6"/>
    <w:rsid w:val="005C64D4"/>
    <w:rsid w:val="005E4159"/>
    <w:rsid w:val="005F71B8"/>
    <w:rsid w:val="0061068A"/>
    <w:rsid w:val="0061252E"/>
    <w:rsid w:val="0061600D"/>
    <w:rsid w:val="0061616D"/>
    <w:rsid w:val="00634200"/>
    <w:rsid w:val="00645F85"/>
    <w:rsid w:val="006520E2"/>
    <w:rsid w:val="00652C29"/>
    <w:rsid w:val="00654F44"/>
    <w:rsid w:val="006A3ABB"/>
    <w:rsid w:val="006E43B7"/>
    <w:rsid w:val="0070653F"/>
    <w:rsid w:val="0071683C"/>
    <w:rsid w:val="007302BC"/>
    <w:rsid w:val="007517B0"/>
    <w:rsid w:val="00753EF4"/>
    <w:rsid w:val="00767536"/>
    <w:rsid w:val="007717B5"/>
    <w:rsid w:val="00773D6D"/>
    <w:rsid w:val="0078666F"/>
    <w:rsid w:val="007C52C1"/>
    <w:rsid w:val="007D690B"/>
    <w:rsid w:val="007E1DB7"/>
    <w:rsid w:val="007E2C69"/>
    <w:rsid w:val="00816155"/>
    <w:rsid w:val="00824EEB"/>
    <w:rsid w:val="00827251"/>
    <w:rsid w:val="00863387"/>
    <w:rsid w:val="0086470F"/>
    <w:rsid w:val="00865070"/>
    <w:rsid w:val="0087100B"/>
    <w:rsid w:val="00884AF4"/>
    <w:rsid w:val="00895595"/>
    <w:rsid w:val="00897193"/>
    <w:rsid w:val="008B29C7"/>
    <w:rsid w:val="00902E7D"/>
    <w:rsid w:val="00907B12"/>
    <w:rsid w:val="00911234"/>
    <w:rsid w:val="00925235"/>
    <w:rsid w:val="00943EFF"/>
    <w:rsid w:val="00973074"/>
    <w:rsid w:val="0097348B"/>
    <w:rsid w:val="00975CB4"/>
    <w:rsid w:val="009933F5"/>
    <w:rsid w:val="009B62CC"/>
    <w:rsid w:val="009C0836"/>
    <w:rsid w:val="009D4112"/>
    <w:rsid w:val="00A14EA3"/>
    <w:rsid w:val="00A30034"/>
    <w:rsid w:val="00A33414"/>
    <w:rsid w:val="00A4211E"/>
    <w:rsid w:val="00A744DF"/>
    <w:rsid w:val="00A85D27"/>
    <w:rsid w:val="00A87C61"/>
    <w:rsid w:val="00A92895"/>
    <w:rsid w:val="00AA2CC3"/>
    <w:rsid w:val="00AA5206"/>
    <w:rsid w:val="00AE35D0"/>
    <w:rsid w:val="00AE6EF6"/>
    <w:rsid w:val="00AF0EB0"/>
    <w:rsid w:val="00AF5E99"/>
    <w:rsid w:val="00B0625E"/>
    <w:rsid w:val="00B063B8"/>
    <w:rsid w:val="00B17665"/>
    <w:rsid w:val="00B627D3"/>
    <w:rsid w:val="00B71BD3"/>
    <w:rsid w:val="00B76B7E"/>
    <w:rsid w:val="00B84E49"/>
    <w:rsid w:val="00BB23A7"/>
    <w:rsid w:val="00BB6798"/>
    <w:rsid w:val="00BC77AB"/>
    <w:rsid w:val="00BD07B3"/>
    <w:rsid w:val="00BF1159"/>
    <w:rsid w:val="00BF7879"/>
    <w:rsid w:val="00C0098D"/>
    <w:rsid w:val="00C403C7"/>
    <w:rsid w:val="00C90916"/>
    <w:rsid w:val="00C95892"/>
    <w:rsid w:val="00CC1371"/>
    <w:rsid w:val="00CC6531"/>
    <w:rsid w:val="00CC6E36"/>
    <w:rsid w:val="00CE6451"/>
    <w:rsid w:val="00CE7B76"/>
    <w:rsid w:val="00D00B33"/>
    <w:rsid w:val="00D074FC"/>
    <w:rsid w:val="00D07768"/>
    <w:rsid w:val="00D4445F"/>
    <w:rsid w:val="00D61022"/>
    <w:rsid w:val="00D7024D"/>
    <w:rsid w:val="00D850D7"/>
    <w:rsid w:val="00D93577"/>
    <w:rsid w:val="00DA775B"/>
    <w:rsid w:val="00DD5434"/>
    <w:rsid w:val="00DF190D"/>
    <w:rsid w:val="00E23A52"/>
    <w:rsid w:val="00E255D3"/>
    <w:rsid w:val="00E338D2"/>
    <w:rsid w:val="00E352E9"/>
    <w:rsid w:val="00E401F7"/>
    <w:rsid w:val="00E44A1B"/>
    <w:rsid w:val="00E531DF"/>
    <w:rsid w:val="00E75AE8"/>
    <w:rsid w:val="00E817DF"/>
    <w:rsid w:val="00E92757"/>
    <w:rsid w:val="00E951A1"/>
    <w:rsid w:val="00EA1137"/>
    <w:rsid w:val="00EB3D77"/>
    <w:rsid w:val="00F23679"/>
    <w:rsid w:val="00F36EF5"/>
    <w:rsid w:val="00F544D7"/>
    <w:rsid w:val="00F6086C"/>
    <w:rsid w:val="00F63EE0"/>
    <w:rsid w:val="00FA3A56"/>
    <w:rsid w:val="00FA5827"/>
    <w:rsid w:val="00FD4CB0"/>
    <w:rsid w:val="015E9FB1"/>
    <w:rsid w:val="10EDF39D"/>
    <w:rsid w:val="11944314"/>
    <w:rsid w:val="173E7A29"/>
    <w:rsid w:val="1A015556"/>
    <w:rsid w:val="22A0E463"/>
    <w:rsid w:val="2D57837C"/>
    <w:rsid w:val="383E9786"/>
    <w:rsid w:val="4588180C"/>
    <w:rsid w:val="73AE5B8E"/>
    <w:rsid w:val="772A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7170F"/>
  <w15:docId w15:val="{2DB36A08-446F-4C18-986F-FBF7F2B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GT/Heading 1"/>
    <w:basedOn w:val="Normal"/>
    <w:next w:val="Normal"/>
    <w:link w:val="Heading1Char"/>
    <w:uiPriority w:val="9"/>
    <w:qFormat/>
    <w:pPr>
      <w:spacing w:after="240"/>
      <w:outlineLvl w:val="0"/>
    </w:pPr>
    <w:rPr>
      <w:rFonts w:ascii="Arial Narrow" w:eastAsia="Calibri" w:hAnsi="Arial Narrow" w:cs="Calibri"/>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link w:val="NormalWebChar"/>
    <w:uiPriority w:val="99"/>
    <w:unhideWhenUsed/>
    <w:pPr>
      <w:spacing w:before="100" w:beforeAutospacing="1" w:after="100" w:afterAutospacing="1"/>
    </w:pPr>
    <w:rPr>
      <w:rFonts w:ascii="Times New Roman" w:hAnsi="Times New Roman" w:cs="Times New Roman"/>
    </w:rPr>
  </w:style>
  <w:style w:type="paragraph" w:styleId="NoSpacing">
    <w:name w:val="No Spacing"/>
    <w:link w:val="NoSpacingChar"/>
    <w:uiPriority w:val="1"/>
    <w:qFormat/>
    <w:rPr>
      <w:rFonts w:eastAsiaTheme="minorEastAsia"/>
      <w:sz w:val="22"/>
      <w:szCs w:val="22"/>
      <w:lang w:eastAsia="zh-CN"/>
    </w:rPr>
  </w:style>
  <w:style w:type="character" w:customStyle="1" w:styleId="NoSpacingChar">
    <w:name w:val="No Spacing Char"/>
    <w:basedOn w:val="DefaultParagraphFont"/>
    <w:link w:val="NoSpacing"/>
    <w:uiPriority w:val="1"/>
    <w:rPr>
      <w:rFonts w:eastAsiaTheme="minorEastAsia"/>
      <w:sz w:val="22"/>
      <w:szCs w:val="22"/>
      <w:lang w:eastAsia="zh-C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TCoverDate">
    <w:name w:val="GT Cover Date"/>
    <w:basedOn w:val="Normal"/>
    <w:qFormat/>
    <w:pPr>
      <w:jc w:val="right"/>
    </w:pPr>
    <w:rPr>
      <w:rFonts w:ascii="Arial" w:hAnsi="Arial" w:cs="Arial"/>
      <w:b/>
      <w:bCs/>
      <w:caps/>
      <w:color w:val="BE9B39"/>
      <w:sz w:val="22"/>
      <w:szCs w:val="22"/>
    </w:rPr>
  </w:style>
  <w:style w:type="paragraph" w:customStyle="1" w:styleId="BodyCopy">
    <w:name w:val="Body Copy"/>
    <w:basedOn w:val="NormalWeb"/>
    <w:link w:val="BodyCopyChar"/>
    <w:qFormat/>
    <w:pPr>
      <w:spacing w:before="0" w:beforeAutospacing="0" w:after="225" w:afterAutospacing="0" w:line="276" w:lineRule="auto"/>
    </w:pPr>
    <w:rPr>
      <w:rFonts w:ascii="Georgia" w:hAnsi="Georgia"/>
      <w:color w:val="000000"/>
      <w:sz w:val="20"/>
      <w:szCs w:val="22"/>
    </w:rPr>
  </w:style>
  <w:style w:type="paragraph" w:customStyle="1" w:styleId="GTHeaderOption1">
    <w:name w:val="GT Header Option 1"/>
    <w:basedOn w:val="NormalWeb"/>
    <w:qFormat/>
    <w:pPr>
      <w:shd w:val="clear" w:color="auto" w:fill="FFFFFF"/>
      <w:spacing w:before="0" w:beforeAutospacing="0" w:after="225" w:afterAutospacing="0" w:line="276" w:lineRule="auto"/>
    </w:pPr>
    <w:rPr>
      <w:rFonts w:ascii="Arial" w:hAnsi="Arial" w:cs="Arial"/>
      <w:b/>
      <w:color w:val="000000"/>
      <w:sz w:val="36"/>
      <w:szCs w:val="36"/>
    </w:rPr>
  </w:style>
  <w:style w:type="paragraph" w:customStyle="1" w:styleId="GTSubheading">
    <w:name w:val="GT Subheading"/>
    <w:basedOn w:val="Normal"/>
    <w:qFormat/>
    <w:rsid w:val="00172EF7"/>
    <w:pPr>
      <w:shd w:val="clear" w:color="auto" w:fill="FFFFFF"/>
      <w:spacing w:after="225" w:line="276" w:lineRule="auto"/>
    </w:pPr>
    <w:rPr>
      <w:rFonts w:ascii="Georgia" w:hAnsi="Georgia" w:cs="Times New Roman"/>
      <w:b/>
      <w:color w:val="956E09"/>
      <w:sz w:val="20"/>
      <w:szCs w:val="22"/>
    </w:rPr>
  </w:style>
  <w:style w:type="paragraph" w:customStyle="1" w:styleId="GTBullets">
    <w:name w:val="GT Bullets"/>
    <w:basedOn w:val="BodyCopy"/>
    <w:qFormat/>
    <w:pPr>
      <w:numPr>
        <w:ilvl w:val="1"/>
        <w:numId w:val="17"/>
      </w:numPr>
      <w:spacing w:after="120"/>
      <w:ind w:left="274" w:hanging="274"/>
    </w:pPr>
  </w:style>
  <w:style w:type="paragraph" w:customStyle="1" w:styleId="GTSub-bullet">
    <w:name w:val="GT Sub-bullet"/>
    <w:basedOn w:val="Normal"/>
    <w:qFormat/>
    <w:pPr>
      <w:numPr>
        <w:ilvl w:val="2"/>
        <w:numId w:val="10"/>
      </w:numPr>
      <w:shd w:val="clear" w:color="auto" w:fill="FFFFFF"/>
      <w:spacing w:after="80" w:line="276" w:lineRule="auto"/>
      <w:ind w:left="634" w:hanging="274"/>
    </w:pPr>
    <w:rPr>
      <w:rFonts w:ascii="Georgia" w:hAnsi="Georgia" w:cs="Times New Roman"/>
      <w:color w:val="000000"/>
      <w:sz w:val="20"/>
      <w:szCs w:val="22"/>
    </w:rPr>
  </w:style>
  <w:style w:type="paragraph" w:customStyle="1" w:styleId="GTHeading-RuleBlue">
    <w:name w:val="GT Heading - Rule Blue"/>
    <w:basedOn w:val="Normal"/>
    <w:pPr>
      <w:pBdr>
        <w:top w:val="single" w:sz="2" w:space="10" w:color="60B1D6"/>
      </w:pBdr>
      <w:shd w:val="clear" w:color="auto" w:fill="FFFFFF"/>
      <w:spacing w:before="240" w:after="200" w:line="276" w:lineRule="auto"/>
    </w:pPr>
    <w:rPr>
      <w:rFonts w:ascii="Arial" w:hAnsi="Arial" w:cs="Arial"/>
      <w:b/>
      <w:bCs/>
      <w:color w:val="2D2D2D"/>
      <w:sz w:val="28"/>
      <w:szCs w:val="28"/>
    </w:rPr>
  </w:style>
  <w:style w:type="paragraph" w:customStyle="1" w:styleId="GTHeaderOption2">
    <w:name w:val="GT Header Option 2"/>
    <w:basedOn w:val="GTHeading-RuleBlue"/>
    <w:qFormat/>
    <w:pPr>
      <w:pBdr>
        <w:top w:val="none" w:sz="0" w:space="0" w:color="auto"/>
      </w:pBdr>
    </w:pPr>
    <w:rPr>
      <w:rFonts w:ascii="Georgia" w:hAnsi="Georgia"/>
      <w:color w:val="404040" w:themeColor="text1" w:themeTint="BF"/>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wgtlawcomcover">
    <w:name w:val="www.gtlaw.com cover"/>
    <w:basedOn w:val="Normal"/>
    <w:qFormat/>
    <w:rPr>
      <w:rFonts w:ascii="Georgia" w:hAnsi="Georgia"/>
      <w:color w:val="60B1D6"/>
    </w:rPr>
  </w:style>
  <w:style w:type="numbering" w:customStyle="1" w:styleId="GTBulletedList-list">
    <w:name w:val="GT Bulleted List-list"/>
    <w:basedOn w:val="NoList"/>
    <w:uiPriority w:val="99"/>
    <w:pPr>
      <w:numPr>
        <w:numId w:val="12"/>
      </w:numPr>
    </w:pPr>
  </w:style>
  <w:style w:type="character" w:customStyle="1" w:styleId="Heading1Char">
    <w:name w:val="Heading 1 Char"/>
    <w:aliases w:val="GT/Heading 1 Char"/>
    <w:basedOn w:val="DefaultParagraphFont"/>
    <w:link w:val="Heading1"/>
    <w:uiPriority w:val="9"/>
    <w:rPr>
      <w:rFonts w:ascii="Arial Narrow" w:eastAsia="Calibri" w:hAnsi="Arial Narrow" w:cs="Calibri"/>
      <w:sz w:val="48"/>
      <w:szCs w:val="48"/>
    </w:rPr>
  </w:style>
  <w:style w:type="character" w:styleId="Hyperlink">
    <w:name w:val="Hyperlink"/>
    <w:uiPriority w:val="99"/>
    <w:unhideWhenUsed/>
    <w:rsid w:val="007717B5"/>
    <w:rPr>
      <w:rFonts w:ascii="Calibri" w:hAnsi="Calibri"/>
      <w:color w:val="956E09"/>
      <w:sz w:val="22"/>
      <w:u w:val="none"/>
    </w:rPr>
  </w:style>
  <w:style w:type="paragraph" w:customStyle="1" w:styleId="GTSeparatorPageTitle">
    <w:name w:val="GT Separator Page Title"/>
    <w:basedOn w:val="GTHeaderOption1"/>
    <w:qFormat/>
    <w:pPr>
      <w:pBdr>
        <w:bottom w:val="single" w:sz="2" w:space="1" w:color="BE9B39"/>
      </w:pBdr>
      <w:jc w:val="right"/>
    </w:pPr>
    <w:rPr>
      <w:sz w:val="56"/>
      <w:szCs w:val="56"/>
    </w:rPr>
  </w:style>
  <w:style w:type="character" w:styleId="SubtleReference">
    <w:name w:val="Subtle Reference"/>
    <w:basedOn w:val="DefaultParagraphFont"/>
    <w:uiPriority w:val="31"/>
    <w:qFormat/>
    <w:rPr>
      <w:smallCaps/>
      <w:color w:val="93D3F1" w:themeColor="accent2"/>
      <w:u w:val="single"/>
    </w:rPr>
  </w:style>
  <w:style w:type="paragraph" w:customStyle="1" w:styleId="GTCoverTitle">
    <w:name w:val="GT Cover Title"/>
    <w:basedOn w:val="Normal"/>
    <w:qFormat/>
    <w:pPr>
      <w:spacing w:line="600" w:lineRule="exact"/>
    </w:pPr>
    <w:rPr>
      <w:rFonts w:ascii="Arial" w:eastAsia="Calibri" w:hAnsi="Arial" w:cs="Arial"/>
      <w:b/>
      <w:bCs/>
      <w:color w:val="3B3838" w:themeColor="background2" w:themeShade="40"/>
      <w:sz w:val="48"/>
      <w:szCs w:val="48"/>
    </w:rPr>
  </w:style>
  <w:style w:type="paragraph" w:customStyle="1" w:styleId="GTBodyCopy">
    <w:name w:val="GT Body Copy"/>
    <w:basedOn w:val="BodyCopy"/>
    <w:link w:val="GTBodyCopyChar"/>
    <w:qFormat/>
  </w:style>
  <w:style w:type="paragraph" w:customStyle="1" w:styleId="GTCoverSubtitle">
    <w:name w:val="GT Cover Subtitle"/>
    <w:basedOn w:val="Normal"/>
    <w:qFormat/>
    <w:pPr>
      <w:spacing w:after="240"/>
    </w:pPr>
    <w:rPr>
      <w:rFonts w:ascii="Georgia" w:eastAsia="Calibri" w:hAnsi="Georgia" w:cs="Arial"/>
      <w:color w:val="000000"/>
      <w:sz w:val="32"/>
      <w:szCs w:val="32"/>
    </w:rPr>
  </w:style>
  <w:style w:type="paragraph" w:customStyle="1" w:styleId="GTTableofContents">
    <w:name w:val="GT Table of Contents"/>
    <w:basedOn w:val="BodyCopy"/>
    <w:qFormat/>
    <w:pPr>
      <w:tabs>
        <w:tab w:val="right" w:leader="dot" w:pos="9360"/>
      </w:tabs>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GTDisclaimer">
    <w:name w:val="GT Disclaimer"/>
    <w:basedOn w:val="BodyCopy"/>
    <w:qFormat/>
    <w:pPr>
      <w:spacing w:before="240" w:after="240" w:line="240" w:lineRule="auto"/>
    </w:pPr>
    <w:rPr>
      <w:rFonts w:ascii="Arial" w:hAnsi="Arial" w:cs="Arial"/>
      <w:i/>
      <w:color w:val="262626" w:themeColor="text1" w:themeTint="D9"/>
      <w:sz w:val="16"/>
      <w:szCs w:val="16"/>
    </w:rPr>
  </w:style>
  <w:style w:type="table" w:customStyle="1" w:styleId="TableGrid2">
    <w:name w:val="Table Grid2"/>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GTAlertTitle">
    <w:name w:val="GT Alert Title"/>
    <w:basedOn w:val="GTHeaderOption2"/>
    <w:qFormat/>
    <w:pPr>
      <w:spacing w:before="0"/>
    </w:pPr>
    <w:rPr>
      <w:color w:val="000000" w:themeColor="text1"/>
      <w:sz w:val="36"/>
      <w:szCs w:val="36"/>
    </w:rPr>
  </w:style>
  <w:style w:type="paragraph" w:customStyle="1" w:styleId="GTCityList">
    <w:name w:val="GT City List"/>
    <w:basedOn w:val="BodyCopy"/>
    <w:qFormat/>
    <w:pPr>
      <w:spacing w:line="260" w:lineRule="exact"/>
    </w:pPr>
    <w:rPr>
      <w:color w:val="2D2D2D" w:themeColor="accent4"/>
      <w:sz w:val="17"/>
      <w:szCs w:val="17"/>
    </w:rPr>
  </w:style>
  <w:style w:type="table" w:styleId="GridTable1Light-Accent1">
    <w:name w:val="Grid Table 1 Light Accent 1"/>
    <w:basedOn w:val="TableNormal"/>
    <w:uiPriority w:val="46"/>
    <w:rsid w:val="00CE7B76"/>
    <w:tblPr>
      <w:tblStyleRowBandSize w:val="1"/>
      <w:tblStyleColBandSize w:val="1"/>
      <w:tblBorders>
        <w:top w:val="single" w:sz="4" w:space="0" w:color="E6D7AE" w:themeColor="accent1" w:themeTint="66"/>
        <w:left w:val="single" w:sz="4" w:space="0" w:color="E6D7AE" w:themeColor="accent1" w:themeTint="66"/>
        <w:bottom w:val="single" w:sz="4" w:space="0" w:color="E6D7AE" w:themeColor="accent1" w:themeTint="66"/>
        <w:right w:val="single" w:sz="4" w:space="0" w:color="E6D7AE" w:themeColor="accent1" w:themeTint="66"/>
        <w:insideH w:val="single" w:sz="4" w:space="0" w:color="E6D7AE" w:themeColor="accent1" w:themeTint="66"/>
        <w:insideV w:val="single" w:sz="4" w:space="0" w:color="E6D7AE" w:themeColor="accent1" w:themeTint="66"/>
      </w:tblBorders>
    </w:tblPr>
    <w:tblStylePr w:type="firstRow">
      <w:rPr>
        <w:b/>
        <w:bCs/>
      </w:rPr>
      <w:tblPr/>
      <w:tcPr>
        <w:tcBorders>
          <w:bottom w:val="single" w:sz="12" w:space="0" w:color="DAC385" w:themeColor="accent1" w:themeTint="99"/>
        </w:tcBorders>
      </w:tcPr>
    </w:tblStylePr>
    <w:tblStylePr w:type="lastRow">
      <w:rPr>
        <w:b/>
        <w:bCs/>
      </w:rPr>
      <w:tblPr/>
      <w:tcPr>
        <w:tcBorders>
          <w:top w:val="double" w:sz="2" w:space="0" w:color="DAC385"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FA5827"/>
    <w:rPr>
      <w:b/>
      <w:bCs/>
    </w:rPr>
  </w:style>
  <w:style w:type="character" w:customStyle="1" w:styleId="CommentSubjectChar">
    <w:name w:val="Comment Subject Char"/>
    <w:basedOn w:val="CommentTextChar"/>
    <w:link w:val="CommentSubject"/>
    <w:uiPriority w:val="99"/>
    <w:semiHidden/>
    <w:rsid w:val="00FA5827"/>
    <w:rPr>
      <w:b/>
      <w:bCs/>
      <w:sz w:val="20"/>
      <w:szCs w:val="20"/>
    </w:rPr>
  </w:style>
  <w:style w:type="character" w:styleId="UnresolvedMention">
    <w:name w:val="Unresolved Mention"/>
    <w:basedOn w:val="DefaultParagraphFont"/>
    <w:uiPriority w:val="99"/>
    <w:semiHidden/>
    <w:unhideWhenUsed/>
    <w:rsid w:val="00172EF7"/>
    <w:rPr>
      <w:color w:val="605E5C"/>
      <w:shd w:val="clear" w:color="auto" w:fill="E1DFDD"/>
    </w:rPr>
  </w:style>
  <w:style w:type="paragraph" w:customStyle="1" w:styleId="DocID">
    <w:name w:val="DocID"/>
    <w:basedOn w:val="Footer"/>
    <w:next w:val="Footer"/>
    <w:link w:val="DocIDChar"/>
    <w:rsid w:val="00E531DF"/>
    <w:pPr>
      <w:tabs>
        <w:tab w:val="clear" w:pos="4680"/>
        <w:tab w:val="clear" w:pos="9360"/>
      </w:tabs>
    </w:pPr>
    <w:rPr>
      <w:rFonts w:ascii="Arial" w:eastAsia="Times New Roman" w:hAnsi="Arial" w:cs="Arial"/>
      <w:sz w:val="16"/>
      <w:szCs w:val="20"/>
    </w:rPr>
  </w:style>
  <w:style w:type="character" w:customStyle="1" w:styleId="NormalWebChar">
    <w:name w:val="Normal (Web) Char"/>
    <w:basedOn w:val="DefaultParagraphFont"/>
    <w:link w:val="NormalWeb"/>
    <w:uiPriority w:val="99"/>
    <w:rsid w:val="00E531DF"/>
    <w:rPr>
      <w:rFonts w:ascii="Times New Roman" w:hAnsi="Times New Roman" w:cs="Times New Roman"/>
    </w:rPr>
  </w:style>
  <w:style w:type="character" w:customStyle="1" w:styleId="BodyCopyChar">
    <w:name w:val="Body Copy Char"/>
    <w:basedOn w:val="NormalWebChar"/>
    <w:link w:val="BodyCopy"/>
    <w:rsid w:val="00E531DF"/>
    <w:rPr>
      <w:rFonts w:ascii="Georgia" w:hAnsi="Georgia" w:cs="Times New Roman"/>
      <w:color w:val="000000"/>
      <w:sz w:val="20"/>
      <w:szCs w:val="22"/>
    </w:rPr>
  </w:style>
  <w:style w:type="character" w:customStyle="1" w:styleId="GTBodyCopyChar">
    <w:name w:val="GT Body Copy Char"/>
    <w:basedOn w:val="BodyCopyChar"/>
    <w:link w:val="GTBodyCopy"/>
    <w:rsid w:val="00E531DF"/>
    <w:rPr>
      <w:rFonts w:ascii="Georgia" w:hAnsi="Georgia" w:cs="Times New Roman"/>
      <w:color w:val="000000"/>
      <w:sz w:val="20"/>
      <w:szCs w:val="22"/>
    </w:rPr>
  </w:style>
  <w:style w:type="character" w:customStyle="1" w:styleId="DocIDChar">
    <w:name w:val="DocID Char"/>
    <w:basedOn w:val="GTBodyCopyChar"/>
    <w:link w:val="DocID"/>
    <w:rsid w:val="00E531DF"/>
    <w:rPr>
      <w:rFonts w:ascii="Arial" w:eastAsia="Times New Roman" w:hAnsi="Arial" w:cs="Arial"/>
      <w:color w:val="000000"/>
      <w:sz w:val="16"/>
      <w:szCs w:val="20"/>
      <w:lang w:val="en-US" w:eastAsia="en-US"/>
    </w:rPr>
  </w:style>
  <w:style w:type="paragraph" w:styleId="Revision">
    <w:name w:val="Revision"/>
    <w:hidden/>
    <w:uiPriority w:val="99"/>
    <w:semiHidden/>
    <w:rsid w:val="0089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8491">
      <w:bodyDiv w:val="1"/>
      <w:marLeft w:val="0"/>
      <w:marRight w:val="0"/>
      <w:marTop w:val="0"/>
      <w:marBottom w:val="0"/>
      <w:divBdr>
        <w:top w:val="none" w:sz="0" w:space="0" w:color="auto"/>
        <w:left w:val="none" w:sz="0" w:space="0" w:color="auto"/>
        <w:bottom w:val="none" w:sz="0" w:space="0" w:color="auto"/>
        <w:right w:val="none" w:sz="0" w:space="0" w:color="auto"/>
      </w:divBdr>
    </w:div>
    <w:div w:id="289284143">
      <w:bodyDiv w:val="1"/>
      <w:marLeft w:val="0"/>
      <w:marRight w:val="0"/>
      <w:marTop w:val="0"/>
      <w:marBottom w:val="0"/>
      <w:divBdr>
        <w:top w:val="none" w:sz="0" w:space="0" w:color="auto"/>
        <w:left w:val="none" w:sz="0" w:space="0" w:color="auto"/>
        <w:bottom w:val="none" w:sz="0" w:space="0" w:color="auto"/>
        <w:right w:val="none" w:sz="0" w:space="0" w:color="auto"/>
      </w:divBdr>
    </w:div>
    <w:div w:id="711999413">
      <w:bodyDiv w:val="1"/>
      <w:marLeft w:val="0"/>
      <w:marRight w:val="0"/>
      <w:marTop w:val="0"/>
      <w:marBottom w:val="0"/>
      <w:divBdr>
        <w:top w:val="none" w:sz="0" w:space="0" w:color="auto"/>
        <w:left w:val="none" w:sz="0" w:space="0" w:color="auto"/>
        <w:bottom w:val="none" w:sz="0" w:space="0" w:color="auto"/>
        <w:right w:val="none" w:sz="0" w:space="0" w:color="auto"/>
      </w:divBdr>
    </w:div>
    <w:div w:id="850415854">
      <w:bodyDiv w:val="1"/>
      <w:marLeft w:val="0"/>
      <w:marRight w:val="0"/>
      <w:marTop w:val="0"/>
      <w:marBottom w:val="0"/>
      <w:divBdr>
        <w:top w:val="none" w:sz="0" w:space="0" w:color="auto"/>
        <w:left w:val="none" w:sz="0" w:space="0" w:color="auto"/>
        <w:bottom w:val="none" w:sz="0" w:space="0" w:color="auto"/>
        <w:right w:val="none" w:sz="0" w:space="0" w:color="auto"/>
      </w:divBdr>
      <w:divsChild>
        <w:div w:id="930747663">
          <w:marLeft w:val="0"/>
          <w:marRight w:val="0"/>
          <w:marTop w:val="0"/>
          <w:marBottom w:val="0"/>
          <w:divBdr>
            <w:top w:val="none" w:sz="0" w:space="0" w:color="auto"/>
            <w:left w:val="none" w:sz="0" w:space="0" w:color="auto"/>
            <w:bottom w:val="none" w:sz="0" w:space="0" w:color="auto"/>
            <w:right w:val="none" w:sz="0" w:space="0" w:color="auto"/>
          </w:divBdr>
        </w:div>
        <w:div w:id="2111578857">
          <w:marLeft w:val="0"/>
          <w:marRight w:val="0"/>
          <w:marTop w:val="0"/>
          <w:marBottom w:val="0"/>
          <w:divBdr>
            <w:top w:val="none" w:sz="0" w:space="0" w:color="auto"/>
            <w:left w:val="none" w:sz="0" w:space="0" w:color="auto"/>
            <w:bottom w:val="none" w:sz="0" w:space="0" w:color="auto"/>
            <w:right w:val="none" w:sz="0" w:space="0" w:color="auto"/>
          </w:divBdr>
        </w:div>
        <w:div w:id="590435916">
          <w:marLeft w:val="0"/>
          <w:marRight w:val="0"/>
          <w:marTop w:val="0"/>
          <w:marBottom w:val="0"/>
          <w:divBdr>
            <w:top w:val="none" w:sz="0" w:space="0" w:color="auto"/>
            <w:left w:val="none" w:sz="0" w:space="0" w:color="auto"/>
            <w:bottom w:val="none" w:sz="0" w:space="0" w:color="auto"/>
            <w:right w:val="none" w:sz="0" w:space="0" w:color="auto"/>
          </w:divBdr>
        </w:div>
      </w:divsChild>
    </w:div>
    <w:div w:id="1081413242">
      <w:bodyDiv w:val="1"/>
      <w:marLeft w:val="0"/>
      <w:marRight w:val="0"/>
      <w:marTop w:val="0"/>
      <w:marBottom w:val="0"/>
      <w:divBdr>
        <w:top w:val="none" w:sz="0" w:space="0" w:color="auto"/>
        <w:left w:val="none" w:sz="0" w:space="0" w:color="auto"/>
        <w:bottom w:val="none" w:sz="0" w:space="0" w:color="auto"/>
        <w:right w:val="none" w:sz="0" w:space="0" w:color="auto"/>
      </w:divBdr>
    </w:div>
    <w:div w:id="1150487933">
      <w:bodyDiv w:val="1"/>
      <w:marLeft w:val="0"/>
      <w:marRight w:val="0"/>
      <w:marTop w:val="0"/>
      <w:marBottom w:val="0"/>
      <w:divBdr>
        <w:top w:val="none" w:sz="0" w:space="0" w:color="auto"/>
        <w:left w:val="none" w:sz="0" w:space="0" w:color="auto"/>
        <w:bottom w:val="none" w:sz="0" w:space="0" w:color="auto"/>
        <w:right w:val="none" w:sz="0" w:space="0" w:color="auto"/>
      </w:divBdr>
    </w:div>
    <w:div w:id="1270577685">
      <w:bodyDiv w:val="1"/>
      <w:marLeft w:val="0"/>
      <w:marRight w:val="0"/>
      <w:marTop w:val="0"/>
      <w:marBottom w:val="0"/>
      <w:divBdr>
        <w:top w:val="none" w:sz="0" w:space="0" w:color="auto"/>
        <w:left w:val="none" w:sz="0" w:space="0" w:color="auto"/>
        <w:bottom w:val="none" w:sz="0" w:space="0" w:color="auto"/>
        <w:right w:val="none" w:sz="0" w:space="0" w:color="auto"/>
      </w:divBdr>
    </w:div>
    <w:div w:id="1409423962">
      <w:bodyDiv w:val="1"/>
      <w:marLeft w:val="0"/>
      <w:marRight w:val="0"/>
      <w:marTop w:val="0"/>
      <w:marBottom w:val="0"/>
      <w:divBdr>
        <w:top w:val="none" w:sz="0" w:space="0" w:color="auto"/>
        <w:left w:val="none" w:sz="0" w:space="0" w:color="auto"/>
        <w:bottom w:val="none" w:sz="0" w:space="0" w:color="auto"/>
        <w:right w:val="none" w:sz="0" w:space="0" w:color="auto"/>
      </w:divBdr>
    </w:div>
    <w:div w:id="1612711218">
      <w:bodyDiv w:val="1"/>
      <w:marLeft w:val="0"/>
      <w:marRight w:val="0"/>
      <w:marTop w:val="0"/>
      <w:marBottom w:val="0"/>
      <w:divBdr>
        <w:top w:val="none" w:sz="0" w:space="0" w:color="auto"/>
        <w:left w:val="none" w:sz="0" w:space="0" w:color="auto"/>
        <w:bottom w:val="none" w:sz="0" w:space="0" w:color="auto"/>
        <w:right w:val="none" w:sz="0" w:space="0" w:color="auto"/>
      </w:divBdr>
    </w:div>
    <w:div w:id="1809782928">
      <w:bodyDiv w:val="1"/>
      <w:marLeft w:val="0"/>
      <w:marRight w:val="0"/>
      <w:marTop w:val="0"/>
      <w:marBottom w:val="0"/>
      <w:divBdr>
        <w:top w:val="none" w:sz="0" w:space="0" w:color="auto"/>
        <w:left w:val="none" w:sz="0" w:space="0" w:color="auto"/>
        <w:bottom w:val="none" w:sz="0" w:space="0" w:color="auto"/>
        <w:right w:val="none" w:sz="0" w:space="0" w:color="auto"/>
      </w:divBdr>
    </w:div>
    <w:div w:id="1879660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orie.Gildea@gtlaw.com" TargetMode="External"/><Relationship Id="rId4" Type="http://schemas.openxmlformats.org/officeDocument/2006/relationships/styles" Target="styles.xml"/><Relationship Id="rId9" Type="http://schemas.openxmlformats.org/officeDocument/2006/relationships/hyperlink" Target="https://www.gtlaw.com/en/professionals/g/gildea-lorie-skjerv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T Color Palette">
      <a:dk1>
        <a:sysClr val="windowText" lastClr="000000"/>
      </a:dk1>
      <a:lt1>
        <a:sysClr val="window" lastClr="FFFFFF"/>
      </a:lt1>
      <a:dk2>
        <a:srgbClr val="44546A"/>
      </a:dk2>
      <a:lt2>
        <a:srgbClr val="E7E6E6"/>
      </a:lt2>
      <a:accent1>
        <a:srgbClr val="BE9B39"/>
      </a:accent1>
      <a:accent2>
        <a:srgbClr val="93D3F1"/>
      </a:accent2>
      <a:accent3>
        <a:srgbClr val="6FC1E7"/>
      </a:accent3>
      <a:accent4>
        <a:srgbClr val="2D2D2D"/>
      </a:accent4>
      <a:accent5>
        <a:srgbClr val="FAFAF0"/>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A1D31-78B3-47C3-9387-28FBFF75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881</Words>
  <Characters>5021</Characters>
  <Application>Microsoft Office Word</Application>
  <DocSecurity>0</DocSecurity>
  <Lines>66</Lines>
  <Paragraphs>13</Paragraphs>
  <ScaleCrop>false</ScaleCrop>
  <HeadingPairs>
    <vt:vector size="2" baseType="variant">
      <vt:variant>
        <vt:lpstr>Title</vt:lpstr>
      </vt:variant>
      <vt:variant>
        <vt:i4>1</vt:i4>
      </vt:variant>
    </vt:vector>
  </HeadingPairs>
  <TitlesOfParts>
    <vt:vector size="1" baseType="lpstr">
      <vt:lpstr>GT Alert_Minnesota Supreme Court Upholds Enforceability of Contract Release Language Against Negligence Claims</vt:lpstr>
    </vt:vector>
  </TitlesOfParts>
  <Company>Greenberg Traurig</Company>
  <LinksUpToDate>false</LinksUpToDate>
  <CharactersWithSpaces>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Alert_Supreme Court Resolves Circuit Split on Wire Fraud and Fraudulent Inducement </dc:title>
  <dc:creator>Bohl, Jessica (Mgr-ShrdSvc-Mktg)</dc:creator>
  <cp:lastModifiedBy>Mumm, Erin (BStf-ShrdSvc-Mktg)</cp:lastModifiedBy>
  <cp:revision>3</cp:revision>
  <cp:lastPrinted>2025-05-29T17:38:00Z</cp:lastPrinted>
  <dcterms:created xsi:type="dcterms:W3CDTF">2025-05-29T17:37:00Z</dcterms:created>
  <dcterms:modified xsi:type="dcterms:W3CDTF">2025-05-29T17:38:00Z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
  </property>
  <property fmtid="{D5CDD505-2E9C-101B-9397-08002B2CF9AE}" pid="3" name="CUS_DocIDActiveBits">
    <vt:lpwstr>653312</vt:lpwstr>
  </property>
  <property fmtid="{D5CDD505-2E9C-101B-9397-08002B2CF9AE}" pid="4" name="CUS_DocIDLocation">
    <vt:lpwstr>EVERY_PAGE</vt:lpwstr>
  </property>
  <property fmtid="{D5CDD505-2E9C-101B-9397-08002B2CF9AE}" pid="5" name="CUS_DocIDReference">
    <vt:lpwstr>everyPage</vt:lpwstr>
  </property>
</Properties>
</file>