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224" w:rsidRDefault="00596224" w:rsidP="00596224">
      <w:pPr>
        <w:shd w:val="clear" w:color="auto" w:fill="FFFFFF"/>
        <w:rPr>
          <w:rFonts w:ascii="PT-Sans" w:hAnsi="PT-Sans"/>
          <w:b/>
          <w:bCs/>
          <w:color w:val="000000"/>
        </w:rPr>
      </w:pPr>
      <w:r>
        <w:rPr>
          <w:rFonts w:ascii="PT-Sans" w:hAnsi="PT-Sans"/>
          <w:b/>
          <w:bCs/>
          <w:color w:val="000000"/>
        </w:rPr>
        <w:t>Middle East</w:t>
      </w:r>
    </w:p>
    <w:p w:rsidR="00596224" w:rsidRPr="006473F4" w:rsidRDefault="00596224" w:rsidP="00596224">
      <w:pPr>
        <w:pStyle w:val="NormalWeb"/>
        <w:shd w:val="clear" w:color="auto" w:fill="FFFFFF"/>
        <w:rPr>
          <w:rFonts w:ascii="Georgia" w:hAnsi="Georgia"/>
          <w:color w:val="000000"/>
        </w:rPr>
      </w:pPr>
      <w:bookmarkStart w:id="0" w:name="_GoBack"/>
      <w:r w:rsidRPr="006473F4">
        <w:rPr>
          <w:rFonts w:ascii="Georgia" w:hAnsi="Georgia"/>
          <w:color w:val="000000"/>
        </w:rPr>
        <w:t xml:space="preserve">Greenberg Traurig is strategically positioned to support clients operating in and from the Middle East. </w:t>
      </w:r>
      <w:r w:rsidR="007D7FBD" w:rsidRPr="006473F4">
        <w:rPr>
          <w:rFonts w:ascii="Georgia" w:hAnsi="Georgia"/>
          <w:color w:val="000000"/>
        </w:rPr>
        <w:t>Our office</w:t>
      </w:r>
      <w:r w:rsidRPr="006473F4">
        <w:rPr>
          <w:rFonts w:ascii="Georgia" w:hAnsi="Georgia"/>
          <w:color w:val="000000"/>
        </w:rPr>
        <w:t xml:space="preserve"> in </w:t>
      </w:r>
      <w:hyperlink r:id="rId7" w:tgtFrame="_blank" w:history="1">
        <w:r w:rsidRPr="006473F4">
          <w:rPr>
            <w:rStyle w:val="Hyperlink"/>
            <w:rFonts w:ascii="Georgia" w:hAnsi="Georgia"/>
          </w:rPr>
          <w:t>Tel Aviv</w:t>
        </w:r>
      </w:hyperlink>
      <w:r w:rsidRPr="006473F4">
        <w:rPr>
          <w:rFonts w:ascii="Georgia" w:hAnsi="Georgia"/>
          <w:color w:val="000000"/>
        </w:rPr>
        <w:t> </w:t>
      </w:r>
      <w:r w:rsidR="007D7FBD" w:rsidRPr="006473F4">
        <w:rPr>
          <w:rFonts w:ascii="Georgia" w:hAnsi="Georgia"/>
          <w:color w:val="000000"/>
        </w:rPr>
        <w:t xml:space="preserve">connects clients with Arab </w:t>
      </w:r>
      <w:r w:rsidRPr="006473F4">
        <w:rPr>
          <w:rFonts w:ascii="Georgia" w:hAnsi="Georgia"/>
          <w:color w:val="000000"/>
        </w:rPr>
        <w:t xml:space="preserve">business </w:t>
      </w:r>
      <w:r w:rsidR="007D7FBD" w:rsidRPr="006473F4">
        <w:rPr>
          <w:rFonts w:ascii="Georgia" w:hAnsi="Georgia"/>
          <w:color w:val="000000"/>
        </w:rPr>
        <w:t>hubs while GT</w:t>
      </w:r>
      <w:r w:rsidRPr="006473F4">
        <w:rPr>
          <w:rFonts w:ascii="Georgia" w:hAnsi="Georgia"/>
          <w:color w:val="000000"/>
        </w:rPr>
        <w:t xml:space="preserve"> attorneys across the globe provide legal services to clients in the region</w:t>
      </w:r>
      <w:r w:rsidR="00B22244" w:rsidRPr="006473F4">
        <w:rPr>
          <w:rFonts w:ascii="Georgia" w:hAnsi="Georgia"/>
          <w:color w:val="000000"/>
        </w:rPr>
        <w:t>,</w:t>
      </w:r>
      <w:r w:rsidRPr="006473F4">
        <w:rPr>
          <w:rFonts w:ascii="Georgia" w:hAnsi="Georgia"/>
          <w:color w:val="000000"/>
        </w:rPr>
        <w:t xml:space="preserve"> enhanced by the strong relationships we hold with top local firms across the Middle East. </w:t>
      </w:r>
      <w:r w:rsidR="007D7FBD" w:rsidRPr="006473F4">
        <w:rPr>
          <w:rFonts w:ascii="Georgia" w:hAnsi="Georgia"/>
          <w:color w:val="000000"/>
        </w:rPr>
        <w:t xml:space="preserve">Read more about our Tel Aviv office in </w:t>
      </w:r>
      <w:r w:rsidR="007D7FBD" w:rsidRPr="006473F4">
        <w:rPr>
          <w:rFonts w:ascii="Georgia" w:hAnsi="Georgia"/>
          <w:color w:val="000000"/>
          <w:u w:val="single"/>
        </w:rPr>
        <w:t>Arabic</w:t>
      </w:r>
      <w:r w:rsidR="007D7FBD" w:rsidRPr="006473F4">
        <w:rPr>
          <w:rFonts w:ascii="Georgia" w:hAnsi="Georgia"/>
          <w:color w:val="000000"/>
        </w:rPr>
        <w:t>.</w:t>
      </w:r>
    </w:p>
    <w:p w:rsidR="00596224" w:rsidRPr="006473F4" w:rsidRDefault="00596224" w:rsidP="00596224">
      <w:pPr>
        <w:pStyle w:val="NormalWeb"/>
        <w:shd w:val="clear" w:color="auto" w:fill="FFFFFF"/>
        <w:rPr>
          <w:rFonts w:ascii="Georgia" w:hAnsi="Georgia"/>
          <w:color w:val="000000"/>
        </w:rPr>
      </w:pPr>
      <w:r w:rsidRPr="006473F4">
        <w:rPr>
          <w:rFonts w:ascii="Georgia" w:hAnsi="Georgia"/>
          <w:color w:val="000000"/>
        </w:rPr>
        <w:t>GT is the only major international law firm with a multidisciplinary, registered office in Israel. The office provides our clients with access to legal services in the U</w:t>
      </w:r>
      <w:r w:rsidR="00AA541D" w:rsidRPr="006473F4">
        <w:rPr>
          <w:rFonts w:ascii="Georgia" w:hAnsi="Georgia"/>
          <w:color w:val="000000"/>
        </w:rPr>
        <w:t xml:space="preserve">nited </w:t>
      </w:r>
      <w:r w:rsidRPr="006473F4">
        <w:rPr>
          <w:rFonts w:ascii="Georgia" w:hAnsi="Georgia"/>
          <w:color w:val="000000"/>
        </w:rPr>
        <w:t>S</w:t>
      </w:r>
      <w:r w:rsidR="00AA541D" w:rsidRPr="006473F4">
        <w:rPr>
          <w:rFonts w:ascii="Georgia" w:hAnsi="Georgia"/>
          <w:color w:val="000000"/>
        </w:rPr>
        <w:t>tates</w:t>
      </w:r>
      <w:r w:rsidRPr="006473F4">
        <w:rPr>
          <w:rFonts w:ascii="Georgia" w:hAnsi="Georgia"/>
          <w:color w:val="000000"/>
        </w:rPr>
        <w:t>, Europe, Asia, &amp; Latin America.</w:t>
      </w:r>
    </w:p>
    <w:p w:rsidR="00596224" w:rsidRPr="006473F4" w:rsidRDefault="00AA541D" w:rsidP="00596224">
      <w:pPr>
        <w:pStyle w:val="NormalWeb"/>
        <w:shd w:val="clear" w:color="auto" w:fill="FFFFFF"/>
        <w:rPr>
          <w:rFonts w:ascii="Georgia" w:hAnsi="Georgia"/>
          <w:color w:val="000000"/>
        </w:rPr>
      </w:pPr>
      <w:r w:rsidRPr="006473F4">
        <w:rPr>
          <w:rFonts w:ascii="Georgia" w:hAnsi="Georgia"/>
          <w:color w:val="000000"/>
        </w:rPr>
        <w:t>We also have an</w:t>
      </w:r>
      <w:r w:rsidR="00596224" w:rsidRPr="006473F4">
        <w:rPr>
          <w:rFonts w:ascii="Georgia" w:hAnsi="Georgia"/>
          <w:color w:val="000000"/>
        </w:rPr>
        <w:t xml:space="preserve"> active  </w:t>
      </w:r>
      <w:hyperlink r:id="rId8" w:history="1">
        <w:r w:rsidR="00596224" w:rsidRPr="006473F4">
          <w:rPr>
            <w:rStyle w:val="Hyperlink"/>
            <w:rFonts w:ascii="Georgia" w:hAnsi="Georgia"/>
            <w:b/>
            <w:bCs/>
            <w:color w:val="BE9B39"/>
          </w:rPr>
          <w:t>Israel Practice</w:t>
        </w:r>
      </w:hyperlink>
      <w:r w:rsidR="00596224" w:rsidRPr="006473F4">
        <w:rPr>
          <w:rFonts w:ascii="Georgia" w:hAnsi="Georgia"/>
          <w:color w:val="000000"/>
        </w:rPr>
        <w:t>, bringing together over 100 members</w:t>
      </w:r>
      <w:r w:rsidRPr="006473F4">
        <w:rPr>
          <w:rFonts w:ascii="Georgia" w:hAnsi="Georgia"/>
          <w:color w:val="000000"/>
        </w:rPr>
        <w:t xml:space="preserve"> of the firm</w:t>
      </w:r>
      <w:r w:rsidR="00596224" w:rsidRPr="006473F4">
        <w:rPr>
          <w:rFonts w:ascii="Georgia" w:hAnsi="Georgia"/>
          <w:color w:val="000000"/>
        </w:rPr>
        <w:t xml:space="preserve"> to leverage a global network of professionals with a </w:t>
      </w:r>
      <w:r w:rsidRPr="006473F4">
        <w:rPr>
          <w:rFonts w:ascii="Georgia" w:hAnsi="Georgia"/>
          <w:color w:val="000000"/>
        </w:rPr>
        <w:t>diverse</w:t>
      </w:r>
      <w:r w:rsidR="00596224" w:rsidRPr="006473F4">
        <w:rPr>
          <w:rFonts w:ascii="Georgia" w:hAnsi="Georgia"/>
          <w:color w:val="000000"/>
        </w:rPr>
        <w:t xml:space="preserve"> legal experience, business alliances, technical knowledge, political awareness, language capabilities, and multicultural insight.</w:t>
      </w:r>
    </w:p>
    <w:bookmarkEnd w:id="0"/>
    <w:p w:rsidR="00596224" w:rsidRDefault="00596224" w:rsidP="00596224">
      <w:pPr>
        <w:pStyle w:val="NormalWeb"/>
        <w:shd w:val="clear" w:color="auto" w:fill="FFFFFF"/>
        <w:rPr>
          <w:rFonts w:ascii="PT-Sans" w:hAnsi="PT-Sans"/>
          <w:color w:val="000000"/>
        </w:rPr>
      </w:pPr>
    </w:p>
    <w:p w:rsidR="00596224" w:rsidRDefault="00596224" w:rsidP="00596224"/>
    <w:p w:rsidR="00596224" w:rsidRDefault="00596224" w:rsidP="00596224">
      <w:r>
        <w:br w:type="page"/>
      </w:r>
    </w:p>
    <w:p w:rsidR="00596224" w:rsidRPr="003B42A5" w:rsidRDefault="00596224" w:rsidP="00596224">
      <w:pPr>
        <w:spacing w:before="100" w:beforeAutospacing="1" w:after="100" w:afterAutospacing="1"/>
        <w:rPr>
          <w:rFonts w:ascii="PT-Sans" w:hAnsi="PT-Sans"/>
          <w:b/>
          <w:bCs/>
        </w:rPr>
      </w:pPr>
      <w:r w:rsidRPr="003B42A5">
        <w:rPr>
          <w:rFonts w:ascii="PT-Sans" w:hAnsi="PT-Sans"/>
          <w:b/>
          <w:bCs/>
        </w:rPr>
        <w:lastRenderedPageBreak/>
        <w:t>Tel Aviv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 xml:space="preserve">Greenberg Traurig’s presence in Israel is unique. We are the only major international law firm with a multidisciplinary registered office in </w:t>
      </w:r>
      <w:r>
        <w:rPr>
          <w:rFonts w:ascii="PT-Sans" w:hAnsi="PT-Sans"/>
        </w:rPr>
        <w:t>Israel</w:t>
      </w:r>
      <w:r w:rsidRPr="001556F2">
        <w:rPr>
          <w:rFonts w:ascii="PT-Sans" w:hAnsi="PT-Sans"/>
        </w:rPr>
        <w:t xml:space="preserve">, one of the </w:t>
      </w:r>
      <w:r>
        <w:rPr>
          <w:rFonts w:ascii="PT-Sans" w:hAnsi="PT-Sans"/>
        </w:rPr>
        <w:t xml:space="preserve">world’s </w:t>
      </w:r>
      <w:r w:rsidRPr="001556F2">
        <w:rPr>
          <w:rFonts w:ascii="PT-Sans" w:hAnsi="PT-Sans"/>
        </w:rPr>
        <w:t>leading innovation and business capitals.</w:t>
      </w:r>
      <w:r>
        <w:rPr>
          <w:rFonts w:ascii="PT-Sans" w:hAnsi="PT-Sans"/>
        </w:rPr>
        <w:t xml:space="preserve"> During these unprecedented times, we are proud to have a team of dedicated </w:t>
      </w:r>
      <w:r w:rsidRPr="00D804F0">
        <w:rPr>
          <w:rFonts w:ascii="PT-Sans" w:hAnsi="PT-Sans"/>
        </w:rPr>
        <w:t xml:space="preserve">on-the-ground </w:t>
      </w:r>
      <w:r>
        <w:rPr>
          <w:rFonts w:ascii="PT-Sans" w:hAnsi="PT-Sans"/>
        </w:rPr>
        <w:t>professionals to assist clients in navigating the complex waters of doing business worldwide, including newly available opportunities for Israelis in business capitals of the Arab world.</w:t>
      </w:r>
      <w:r w:rsidRPr="001556F2">
        <w:rPr>
          <w:rFonts w:ascii="PT-Sans" w:hAnsi="PT-Sans"/>
        </w:rPr>
        <w:br/>
      </w:r>
      <w:r w:rsidRPr="001556F2">
        <w:rPr>
          <w:rFonts w:ascii="PT-Sans" w:hAnsi="PT-Sans"/>
        </w:rPr>
        <w:br/>
        <w:t xml:space="preserve">The Tel Aviv office serves two primary functions. Our office acts as a gateway for Israeli businesses and entrepreneurs seeking legal counsel </w:t>
      </w:r>
      <w:r>
        <w:rPr>
          <w:rFonts w:ascii="PT-Sans" w:hAnsi="PT-Sans"/>
        </w:rPr>
        <w:t>with</w:t>
      </w:r>
      <w:r w:rsidRPr="001556F2">
        <w:rPr>
          <w:rFonts w:ascii="PT-Sans" w:hAnsi="PT-Sans"/>
        </w:rPr>
        <w:t xml:space="preserve"> opportunities in the Americas, Europe, Asia, </w:t>
      </w:r>
      <w:r>
        <w:rPr>
          <w:rFonts w:ascii="PT-Sans" w:hAnsi="PT-Sans"/>
        </w:rPr>
        <w:t xml:space="preserve">the Middle East </w:t>
      </w:r>
      <w:r w:rsidRPr="001556F2">
        <w:rPr>
          <w:rFonts w:ascii="PT-Sans" w:hAnsi="PT-Sans"/>
        </w:rPr>
        <w:t>and world</w:t>
      </w:r>
      <w:r>
        <w:rPr>
          <w:rFonts w:ascii="PT-Sans" w:hAnsi="PT-Sans"/>
        </w:rPr>
        <w:t>wide</w:t>
      </w:r>
      <w:r w:rsidRPr="001556F2">
        <w:rPr>
          <w:rFonts w:ascii="PT-Sans" w:hAnsi="PT-Sans"/>
        </w:rPr>
        <w:t xml:space="preserve">. </w:t>
      </w:r>
      <w:r>
        <w:rPr>
          <w:rFonts w:ascii="PT-Sans" w:hAnsi="PT-Sans"/>
        </w:rPr>
        <w:t xml:space="preserve">We offer clients access to our team of experts across GT's 40 worldwide locations, supplemented by on-the-ground relationships with leading firms in specific locations where we do not have a physical presence. </w:t>
      </w:r>
      <w:r w:rsidRPr="001556F2">
        <w:rPr>
          <w:rFonts w:ascii="PT-Sans" w:hAnsi="PT-Sans"/>
        </w:rPr>
        <w:t xml:space="preserve">Additionally, Greenberg Traurig’s global client base benefits from our on-the-ground knowledge of the legal aspects </w:t>
      </w:r>
      <w:r>
        <w:rPr>
          <w:rFonts w:ascii="PT-Sans" w:hAnsi="PT-Sans"/>
        </w:rPr>
        <w:t>of</w:t>
      </w:r>
      <w:r w:rsidRPr="001556F2">
        <w:rPr>
          <w:rFonts w:ascii="PT-Sans" w:hAnsi="PT-Sans"/>
        </w:rPr>
        <w:t xml:space="preserve"> doing business with Israelis and our depth of experience in assisting clients with legal matters related to opportunities in Israel.</w:t>
      </w:r>
      <w:r w:rsidRPr="001556F2">
        <w:rPr>
          <w:rFonts w:ascii="PT-Sans" w:hAnsi="PT-Sans"/>
        </w:rPr>
        <w:br/>
      </w:r>
      <w:r w:rsidRPr="001556F2">
        <w:rPr>
          <w:rFonts w:ascii="PT-Sans" w:hAnsi="PT-Sans"/>
        </w:rPr>
        <w:br/>
        <w:t>We are proud that our </w:t>
      </w:r>
      <w:hyperlink r:id="rId9" w:history="1">
        <w:r w:rsidRPr="001556F2">
          <w:rPr>
            <w:rFonts w:ascii="inherit" w:hAnsi="inherit"/>
            <w:b/>
            <w:bCs/>
            <w:color w:val="BE9B39"/>
            <w:u w:val="single"/>
          </w:rPr>
          <w:t>Israel Practice </w:t>
        </w:r>
      </w:hyperlink>
      <w:r w:rsidRPr="001556F2">
        <w:rPr>
          <w:rFonts w:ascii="PT-Sans" w:hAnsi="PT-Sans"/>
        </w:rPr>
        <w:t xml:space="preserve">has been actively serving clients for </w:t>
      </w:r>
      <w:r>
        <w:rPr>
          <w:rFonts w:ascii="PT-Sans" w:hAnsi="PT-Sans"/>
        </w:rPr>
        <w:t>some 20 years</w:t>
      </w:r>
      <w:r w:rsidRPr="001556F2">
        <w:rPr>
          <w:rFonts w:ascii="PT-Sans" w:hAnsi="PT-Sans"/>
        </w:rPr>
        <w:t xml:space="preserve"> and includes more than 100 of our attorneys from other offices world</w:t>
      </w:r>
      <w:r>
        <w:rPr>
          <w:rFonts w:ascii="PT-Sans" w:hAnsi="PT-Sans"/>
        </w:rPr>
        <w:t>wide</w:t>
      </w:r>
      <w:r w:rsidRPr="001556F2">
        <w:rPr>
          <w:rFonts w:ascii="PT-Sans" w:hAnsi="PT-Sans"/>
        </w:rPr>
        <w:t>.</w:t>
      </w:r>
      <w:r w:rsidRPr="001556F2">
        <w:rPr>
          <w:rFonts w:ascii="PT-Sans" w:hAnsi="PT-Sans"/>
        </w:rPr>
        <w:br/>
      </w:r>
      <w:r w:rsidRPr="001556F2">
        <w:rPr>
          <w:rFonts w:ascii="PT-Sans" w:hAnsi="PT-Sans"/>
        </w:rPr>
        <w:br/>
        <w:t>Attorneys resident in our Tel Aviv office work hand-in-hand with our global </w:t>
      </w:r>
      <w:r w:rsidRPr="001556F2">
        <w:rPr>
          <w:rFonts w:ascii="inherit" w:hAnsi="inherit"/>
          <w:b/>
          <w:bCs/>
          <w:color w:val="BE9B39"/>
        </w:rPr>
        <w:t>Israel Practice</w:t>
      </w:r>
      <w:r>
        <w:rPr>
          <w:rFonts w:ascii="inherit" w:hAnsi="inherit"/>
          <w:b/>
          <w:bCs/>
          <w:color w:val="BE9B39"/>
        </w:rPr>
        <w:t xml:space="preserve"> members</w:t>
      </w:r>
      <w:r w:rsidRPr="001556F2">
        <w:rPr>
          <w:rFonts w:ascii="PT-Sans" w:hAnsi="PT-Sans"/>
        </w:rPr>
        <w:t>, providing clients access to a network of professionals with the legal experience, business acumen, technical knowledge, political experience, language capabilities, and cultural understanding needed for doing business in and with Israel.</w:t>
      </w:r>
      <w:r w:rsidRPr="001556F2">
        <w:rPr>
          <w:rFonts w:ascii="PT-Sans" w:hAnsi="PT-Sans"/>
        </w:rPr>
        <w:br/>
      </w:r>
      <w:r w:rsidRPr="001556F2">
        <w:rPr>
          <w:rFonts w:ascii="PT-Sans" w:hAnsi="PT-Sans"/>
        </w:rPr>
        <w:br/>
        <w:t xml:space="preserve">We have a </w:t>
      </w:r>
      <w:r>
        <w:rPr>
          <w:rFonts w:ascii="PT-Sans" w:hAnsi="PT-Sans"/>
        </w:rPr>
        <w:t>firm</w:t>
      </w:r>
      <w:r w:rsidRPr="001556F2">
        <w:rPr>
          <w:rFonts w:ascii="PT-Sans" w:hAnsi="PT-Sans"/>
        </w:rPr>
        <w:t xml:space="preserve"> grasp of the legal challenges facing the Israel-related business arena, and thus </w:t>
      </w:r>
      <w:r>
        <w:rPr>
          <w:rFonts w:ascii="PT-Sans" w:hAnsi="PT-Sans"/>
        </w:rPr>
        <w:t>can</w:t>
      </w:r>
      <w:r w:rsidRPr="001556F2">
        <w:rPr>
          <w:rFonts w:ascii="PT-Sans" w:hAnsi="PT-Sans"/>
        </w:rPr>
        <w:t xml:space="preserve"> offer a multi-disciplinary, integrated team of professionals to assist clients with a range of corporate and commercial law issues including:</w:t>
      </w:r>
    </w:p>
    <w:tbl>
      <w:tblPr>
        <w:tblW w:w="9000" w:type="dxa"/>
        <w:jc w:val="center"/>
        <w:tblCellSpacing w:w="24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501"/>
        <w:gridCol w:w="4526"/>
      </w:tblGrid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1"/>
              </w:numPr>
              <w:spacing w:before="100" w:beforeAutospacing="1" w:after="100" w:afterAutospacing="1"/>
            </w:pPr>
            <w:r w:rsidRPr="001556F2">
              <w:t>Mergers &amp; Acquisitions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Default="00596224" w:rsidP="006F7387">
            <w:pPr>
              <w:numPr>
                <w:ilvl w:val="0"/>
                <w:numId w:val="12"/>
              </w:numPr>
              <w:spacing w:before="100" w:beforeAutospacing="1" w:after="100" w:afterAutospacing="1"/>
            </w:pPr>
            <w:r>
              <w:t xml:space="preserve">Labor &amp; Employment </w:t>
            </w:r>
            <w:r>
              <w:br/>
            </w:r>
          </w:p>
          <w:p w:rsidR="00596224" w:rsidRPr="001556F2" w:rsidRDefault="00596224" w:rsidP="006F7387">
            <w:pPr>
              <w:numPr>
                <w:ilvl w:val="0"/>
                <w:numId w:val="12"/>
              </w:numPr>
              <w:spacing w:before="100" w:beforeAutospacing="1" w:after="100" w:afterAutospacing="1"/>
            </w:pPr>
            <w:r w:rsidRPr="001556F2">
              <w:t>UK, Dutch, German, and Poland matters 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3"/>
              </w:numPr>
              <w:spacing w:before="100" w:beforeAutospacing="1" w:after="100" w:afterAutospacing="1"/>
            </w:pPr>
            <w:r w:rsidRPr="001556F2">
              <w:t>Private Equity &amp; Venture Capital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4"/>
              </w:numPr>
              <w:spacing w:before="100" w:beforeAutospacing="1" w:after="100" w:afterAutospacing="1"/>
            </w:pPr>
            <w:r w:rsidRPr="001556F2">
              <w:t>Patents, Trademarks, &amp; Copyrights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5"/>
              </w:numPr>
              <w:spacing w:before="100" w:beforeAutospacing="1" w:after="100" w:afterAutospacing="1"/>
            </w:pPr>
            <w:r w:rsidRPr="001556F2">
              <w:t>Joint Ventures &amp; Strategic Partnerships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 w:rsidRPr="001556F2">
              <w:t>Litigation and Investigations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7"/>
              </w:numPr>
              <w:spacing w:before="100" w:beforeAutospacing="1" w:after="100" w:afterAutospacing="1"/>
            </w:pPr>
            <w:r w:rsidRPr="001556F2">
              <w:t>International Real Estate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8"/>
              </w:numPr>
              <w:spacing w:before="100" w:beforeAutospacing="1" w:after="100" w:afterAutospacing="1"/>
            </w:pPr>
            <w:r w:rsidRPr="001556F2">
              <w:t>White Collar Crime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19"/>
              </w:numPr>
              <w:spacing w:before="100" w:beforeAutospacing="1" w:after="100" w:afterAutospacing="1"/>
            </w:pPr>
            <w:r w:rsidRPr="001556F2">
              <w:t>Technology, Licensing, &amp; Cyber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0"/>
              </w:numPr>
              <w:spacing w:before="100" w:beforeAutospacing="1" w:after="100" w:afterAutospacing="1"/>
            </w:pPr>
            <w:r w:rsidRPr="001556F2">
              <w:t>Compliance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1"/>
              </w:numPr>
              <w:spacing w:before="100" w:beforeAutospacing="1" w:after="100" w:afterAutospacing="1"/>
            </w:pPr>
            <w:r w:rsidRPr="001556F2">
              <w:lastRenderedPageBreak/>
              <w:t>Asia, Europe, &amp; Latin America Practices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2"/>
              </w:numPr>
              <w:spacing w:before="100" w:beforeAutospacing="1" w:after="100" w:afterAutospacing="1"/>
            </w:pPr>
            <w:r w:rsidRPr="001556F2">
              <w:t>International Tax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3"/>
              </w:numPr>
              <w:spacing w:before="100" w:beforeAutospacing="1" w:after="100" w:afterAutospacing="1"/>
            </w:pPr>
            <w:r w:rsidRPr="001556F2">
              <w:t>Public &amp; Private Offerings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4"/>
              </w:numPr>
              <w:spacing w:before="100" w:beforeAutospacing="1" w:after="100" w:afterAutospacing="1"/>
            </w:pPr>
            <w:r w:rsidRPr="001556F2">
              <w:t>Global Trade</w:t>
            </w:r>
          </w:p>
        </w:tc>
      </w:tr>
      <w:tr w:rsidR="00596224" w:rsidRPr="001556F2" w:rsidTr="006F7387">
        <w:trPr>
          <w:tblCellSpacing w:w="24" w:type="dxa"/>
          <w:jc w:val="center"/>
        </w:trPr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5"/>
              </w:numPr>
              <w:spacing w:before="100" w:beforeAutospacing="1" w:after="100" w:afterAutospacing="1"/>
            </w:pPr>
            <w:r w:rsidRPr="001556F2">
              <w:t>SEC Compliance</w:t>
            </w:r>
          </w:p>
        </w:tc>
        <w:tc>
          <w:tcPr>
            <w:tcW w:w="0" w:type="auto"/>
            <w:noWrap/>
            <w:vAlign w:val="center"/>
            <w:hideMark/>
          </w:tcPr>
          <w:p w:rsidR="00596224" w:rsidRPr="001556F2" w:rsidRDefault="00596224" w:rsidP="006F7387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1556F2">
              <w:t>Governmental Affairs</w:t>
            </w:r>
          </w:p>
        </w:tc>
      </w:tr>
    </w:tbl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Greenberg Traurig’s Tel Aviv office is proud to be the first and only office of an international law firm in Israel recognized by Israeli legal</w:t>
      </w:r>
      <w:r>
        <w:rPr>
          <w:rFonts w:ascii="PT-Sans" w:hAnsi="PT-Sans"/>
        </w:rPr>
        <w:t xml:space="preserve"> </w:t>
      </w:r>
      <w:r w:rsidRPr="001556F2">
        <w:rPr>
          <w:rFonts w:ascii="PT-Sans" w:hAnsi="PT-Sans"/>
        </w:rPr>
        <w:t>directories. </w:t>
      </w:r>
      <w:proofErr w:type="spellStart"/>
      <w:r w:rsidRPr="001556F2">
        <w:rPr>
          <w:rFonts w:ascii="PT-Sans" w:hAnsi="PT-Sans"/>
          <w:i/>
          <w:iCs/>
        </w:rPr>
        <w:t>BD</w:t>
      </w:r>
      <w:r>
        <w:rPr>
          <w:rFonts w:ascii="PT-Sans" w:hAnsi="PT-Sans"/>
          <w:i/>
          <w:iCs/>
        </w:rPr>
        <w:t>i</w:t>
      </w:r>
      <w:r w:rsidRPr="001556F2">
        <w:rPr>
          <w:rFonts w:ascii="PT-Sans" w:hAnsi="PT-Sans"/>
          <w:i/>
          <w:iCs/>
        </w:rPr>
        <w:t>Code</w:t>
      </w:r>
      <w:proofErr w:type="spellEnd"/>
      <w:r w:rsidRPr="001556F2">
        <w:rPr>
          <w:rFonts w:ascii="PT-Sans" w:hAnsi="PT-Sans"/>
        </w:rPr>
        <w:t> </w:t>
      </w:r>
      <w:r>
        <w:rPr>
          <w:rFonts w:ascii="PT-Sans" w:hAnsi="PT-Sans"/>
        </w:rPr>
        <w:t>recognized</w:t>
      </w:r>
      <w:r w:rsidRPr="001556F2">
        <w:rPr>
          <w:rFonts w:ascii="PT-Sans" w:hAnsi="PT-Sans"/>
        </w:rPr>
        <w:t xml:space="preserve"> the office </w:t>
      </w:r>
      <w:r>
        <w:rPr>
          <w:rFonts w:ascii="PT-Sans" w:hAnsi="PT-Sans"/>
        </w:rPr>
        <w:t xml:space="preserve">for its </w:t>
      </w:r>
      <w:r w:rsidRPr="00156721">
        <w:rPr>
          <w:rFonts w:ascii="PT-Sans" w:hAnsi="PT-Sans"/>
          <w:i/>
          <w:iCs/>
        </w:rPr>
        <w:t>International Commercial</w:t>
      </w:r>
      <w:r>
        <w:rPr>
          <w:rFonts w:ascii="PT-Sans" w:hAnsi="PT-Sans"/>
          <w:i/>
          <w:iCs/>
        </w:rPr>
        <w:t xml:space="preserve"> </w:t>
      </w:r>
      <w:r w:rsidRPr="00156721">
        <w:rPr>
          <w:rFonts w:ascii="PT-Sans" w:hAnsi="PT-Sans"/>
        </w:rPr>
        <w:t>(2016-2020)</w:t>
      </w:r>
      <w:r>
        <w:rPr>
          <w:rFonts w:ascii="PT-Sans" w:hAnsi="PT-Sans"/>
        </w:rPr>
        <w:t xml:space="preserve">, </w:t>
      </w:r>
      <w:r w:rsidRPr="00156721">
        <w:rPr>
          <w:rFonts w:ascii="PT-Sans" w:hAnsi="PT-Sans"/>
          <w:i/>
          <w:iCs/>
        </w:rPr>
        <w:t>Real Estate</w:t>
      </w:r>
      <w:r>
        <w:rPr>
          <w:rFonts w:ascii="PT-Sans" w:hAnsi="PT-Sans"/>
        </w:rPr>
        <w:t xml:space="preserve"> (2019-2020) </w:t>
      </w:r>
      <w:r w:rsidRPr="00156721">
        <w:rPr>
          <w:rFonts w:ascii="PT-Sans" w:hAnsi="PT-Sans"/>
          <w:i/>
          <w:iCs/>
        </w:rPr>
        <w:t>Mergers &amp; Acquisitions</w:t>
      </w:r>
      <w:r>
        <w:rPr>
          <w:rFonts w:ascii="PT-Sans" w:hAnsi="PT-Sans"/>
        </w:rPr>
        <w:t xml:space="preserve"> (2016-2020), and </w:t>
      </w:r>
      <w:r w:rsidRPr="00156721">
        <w:rPr>
          <w:rFonts w:ascii="PT-Sans" w:hAnsi="PT-Sans"/>
          <w:i/>
          <w:iCs/>
        </w:rPr>
        <w:t xml:space="preserve">Labor &amp; Employment capabilities </w:t>
      </w:r>
      <w:r>
        <w:rPr>
          <w:rFonts w:ascii="PT-Sans" w:hAnsi="PT-Sans"/>
        </w:rPr>
        <w:t>(2020).</w:t>
      </w:r>
      <w:r w:rsidRPr="001556F2">
        <w:rPr>
          <w:rFonts w:ascii="PT-Sans" w:hAnsi="PT-Sans"/>
        </w:rPr>
        <w:t xml:space="preserve"> </w:t>
      </w:r>
      <w:r w:rsidRPr="001556F2">
        <w:rPr>
          <w:rFonts w:ascii="PT-Sans" w:hAnsi="PT-Sans"/>
          <w:i/>
          <w:iCs/>
        </w:rPr>
        <w:t>Dun’s 100 </w:t>
      </w:r>
      <w:r w:rsidRPr="00D804F0">
        <w:rPr>
          <w:rFonts w:ascii="PT-Sans" w:hAnsi="PT-Sans"/>
        </w:rPr>
        <w:t>has been</w:t>
      </w:r>
      <w:r>
        <w:rPr>
          <w:rFonts w:ascii="PT-Sans" w:hAnsi="PT-Sans"/>
          <w:i/>
          <w:iCs/>
        </w:rPr>
        <w:t xml:space="preserve"> </w:t>
      </w:r>
      <w:r w:rsidRPr="001556F2">
        <w:rPr>
          <w:rFonts w:ascii="PT-Sans" w:hAnsi="PT-Sans"/>
        </w:rPr>
        <w:t>acknowledg</w:t>
      </w:r>
      <w:r>
        <w:rPr>
          <w:rFonts w:ascii="PT-Sans" w:hAnsi="PT-Sans"/>
        </w:rPr>
        <w:t>ing</w:t>
      </w:r>
      <w:r w:rsidRPr="001556F2">
        <w:rPr>
          <w:rFonts w:ascii="PT-Sans" w:hAnsi="PT-Sans"/>
        </w:rPr>
        <w:t xml:space="preserve"> the office as </w:t>
      </w:r>
      <w:r>
        <w:rPr>
          <w:rFonts w:ascii="PT-Sans" w:hAnsi="PT-Sans"/>
        </w:rPr>
        <w:t xml:space="preserve">a </w:t>
      </w:r>
      <w:r w:rsidRPr="001556F2">
        <w:rPr>
          <w:rFonts w:ascii="PT-Sans" w:hAnsi="PT-Sans"/>
        </w:rPr>
        <w:t>Prominent</w:t>
      </w:r>
      <w:r>
        <w:rPr>
          <w:rFonts w:ascii="PT-Sans" w:hAnsi="PT-Sans"/>
        </w:rPr>
        <w:t xml:space="preserve"> Leader</w:t>
      </w:r>
      <w:r w:rsidRPr="001556F2">
        <w:rPr>
          <w:rFonts w:ascii="PT-Sans" w:hAnsi="PT-Sans"/>
        </w:rPr>
        <w:t xml:space="preserve"> under the </w:t>
      </w:r>
      <w:r w:rsidRPr="00156721">
        <w:rPr>
          <w:rFonts w:ascii="PT-Sans" w:hAnsi="PT-Sans"/>
          <w:i/>
          <w:iCs/>
        </w:rPr>
        <w:t>International Commercial</w:t>
      </w:r>
      <w:r w:rsidRPr="001556F2">
        <w:rPr>
          <w:rFonts w:ascii="PT-Sans" w:hAnsi="PT-Sans"/>
        </w:rPr>
        <w:t xml:space="preserve"> practice area </w:t>
      </w:r>
      <w:r>
        <w:rPr>
          <w:rFonts w:ascii="PT-Sans" w:hAnsi="PT-Sans"/>
        </w:rPr>
        <w:t xml:space="preserve">for five consecutive years </w:t>
      </w:r>
      <w:r w:rsidRPr="001556F2">
        <w:rPr>
          <w:rFonts w:ascii="PT-Sans" w:hAnsi="PT-Sans"/>
        </w:rPr>
        <w:t>(2016-20</w:t>
      </w:r>
      <w:r>
        <w:rPr>
          <w:rFonts w:ascii="PT-Sans" w:hAnsi="PT-Sans"/>
        </w:rPr>
        <w:t>20</w:t>
      </w:r>
      <w:r w:rsidRPr="001556F2">
        <w:rPr>
          <w:rFonts w:ascii="PT-Sans" w:hAnsi="PT-Sans"/>
        </w:rPr>
        <w:t>).</w:t>
      </w:r>
    </w:p>
    <w:p w:rsidR="00596224" w:rsidRPr="001556F2" w:rsidRDefault="00596224" w:rsidP="00596224">
      <w:pPr>
        <w:spacing w:after="100" w:afterAutospacing="1"/>
        <w:outlineLvl w:val="1"/>
        <w:rPr>
          <w:rFonts w:ascii="PT-Serif" w:hAnsi="PT-Serif"/>
          <w:b/>
          <w:bCs/>
          <w:spacing w:val="23"/>
          <w:sz w:val="36"/>
          <w:szCs w:val="36"/>
        </w:rPr>
      </w:pPr>
      <w:r w:rsidRPr="001556F2">
        <w:rPr>
          <w:rFonts w:ascii="PT-Serif" w:hAnsi="PT-Serif"/>
          <w:b/>
          <w:bCs/>
          <w:spacing w:val="23"/>
          <w:sz w:val="36"/>
          <w:szCs w:val="36"/>
        </w:rPr>
        <w:t>Aliya Task Force</w:t>
      </w:r>
    </w:p>
    <w:p w:rsidR="00596224" w:rsidRPr="001556F2" w:rsidRDefault="00596224" w:rsidP="00596224">
      <w:pPr>
        <w:spacing w:after="100" w:afterAutospacing="1"/>
        <w:outlineLvl w:val="2"/>
        <w:rPr>
          <w:rFonts w:ascii="PT-Serif" w:hAnsi="PT-Serif"/>
          <w:b/>
          <w:bCs/>
          <w:sz w:val="27"/>
          <w:szCs w:val="27"/>
        </w:rPr>
      </w:pPr>
      <w:r w:rsidRPr="001556F2">
        <w:rPr>
          <w:rFonts w:ascii="PT-Serif" w:hAnsi="PT-Serif"/>
          <w:b/>
          <w:bCs/>
          <w:sz w:val="27"/>
          <w:szCs w:val="27"/>
        </w:rPr>
        <w:t>Greenberg Traurig Tel Aviv - Bridging Israel and the World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 xml:space="preserve">Greenberg Traurig has a longstanding commitment to Israel. In addition to </w:t>
      </w:r>
      <w:proofErr w:type="gramStart"/>
      <w:r w:rsidRPr="001556F2">
        <w:rPr>
          <w:rFonts w:ascii="PT-Sans" w:hAnsi="PT-Sans"/>
        </w:rPr>
        <w:t>being</w:t>
      </w:r>
      <w:proofErr w:type="gramEnd"/>
      <w:r w:rsidRPr="001556F2">
        <w:rPr>
          <w:rFonts w:ascii="PT-Sans" w:hAnsi="PT-Sans"/>
        </w:rPr>
        <w:t xml:space="preserve"> the only major international law firm with a multidisciplinary registered once</w:t>
      </w:r>
      <w:r>
        <w:rPr>
          <w:rFonts w:ascii="PT-Sans" w:hAnsi="PT-Sans"/>
        </w:rPr>
        <w:t>,</w:t>
      </w:r>
      <w:r w:rsidRPr="001556F2">
        <w:rPr>
          <w:rFonts w:ascii="PT-Sans" w:hAnsi="PT-Sans"/>
        </w:rPr>
        <w:t xml:space="preserve"> in Israel, we collectively offer more than 20 years of on-the-ground experience representing local and international businesses. We understand the meaning of making Aliya.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Our dedicated Aliya Taskforce, spearheaded by Tel Aviv Managing Shareholder </w:t>
      </w:r>
      <w:hyperlink r:id="rId10" w:history="1">
        <w:r w:rsidRPr="001556F2">
          <w:rPr>
            <w:rFonts w:ascii="inherit" w:hAnsi="inherit"/>
            <w:color w:val="BE9B39"/>
            <w:u w:val="single"/>
          </w:rPr>
          <w:t>Joey Shabot</w:t>
        </w:r>
        <w:r>
          <w:rPr>
            <w:rFonts w:ascii="inherit" w:hAnsi="inherit"/>
            <w:color w:val="BE9B39"/>
            <w:u w:val="single"/>
          </w:rPr>
          <w:t>,</w:t>
        </w:r>
        <w:r w:rsidRPr="001556F2">
          <w:rPr>
            <w:rFonts w:ascii="inherit" w:hAnsi="inherit"/>
            <w:color w:val="BE9B39"/>
            <w:u w:val="single"/>
          </w:rPr>
          <w:t> </w:t>
        </w:r>
      </w:hyperlink>
      <w:r w:rsidRPr="001556F2">
        <w:rPr>
          <w:rFonts w:ascii="PT-Sans" w:hAnsi="PT-Sans"/>
        </w:rPr>
        <w:t>includes professionals who have chosen to move to Israel and build their lives here with their families. We understand the complexities that high-net-worth individuals face when planning their Aliya, and we offer the multidisciplinary legal support they may need.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The </w:t>
      </w:r>
      <w:hyperlink r:id="rId11" w:history="1">
        <w:r w:rsidRPr="001556F2">
          <w:rPr>
            <w:rFonts w:ascii="inherit" w:hAnsi="inherit"/>
            <w:b/>
            <w:bCs/>
            <w:color w:val="BE9B39"/>
          </w:rPr>
          <w:t>Israel Practice</w:t>
        </w:r>
        <w:r w:rsidRPr="001556F2">
          <w:rPr>
            <w:rFonts w:ascii="inherit" w:hAnsi="inherit"/>
            <w:color w:val="BE9B39"/>
            <w:u w:val="single"/>
          </w:rPr>
          <w:t> </w:t>
        </w:r>
      </w:hyperlink>
      <w:r w:rsidRPr="001556F2">
        <w:rPr>
          <w:rFonts w:ascii="PT-Sans" w:hAnsi="PT-Sans"/>
        </w:rPr>
        <w:t>and Tel Aviv office maintain the </w:t>
      </w:r>
      <w:r w:rsidRPr="001556F2">
        <w:rPr>
          <w:rFonts w:ascii="PT-Sans" w:hAnsi="PT-Sans"/>
          <w:i/>
          <w:iCs/>
        </w:rPr>
        <w:t>GT Israel Blog</w:t>
      </w:r>
      <w:r w:rsidRPr="001556F2">
        <w:rPr>
          <w:rFonts w:ascii="PT-Sans" w:hAnsi="PT-Sans"/>
        </w:rPr>
        <w:t>, available here </w:t>
      </w:r>
      <w:r w:rsidRPr="001556F2">
        <w:rPr>
          <w:rFonts w:ascii="inherit" w:hAnsi="inherit"/>
          <w:noProof/>
          <w:color w:val="BE9B39"/>
        </w:rPr>
        <w:drawing>
          <wp:inline distT="0" distB="0" distL="0" distR="0" wp14:anchorId="1D353C78" wp14:editId="1E5D9512">
            <wp:extent cx="228600" cy="228600"/>
            <wp:effectExtent l="0" t="0" r="0" b="0"/>
            <wp:docPr id="2" name="Picture 2" descr="Blo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224" w:rsidRPr="001556F2" w:rsidRDefault="00596224" w:rsidP="00596224">
      <w:pPr>
        <w:spacing w:after="100" w:afterAutospacing="1"/>
        <w:outlineLvl w:val="2"/>
        <w:rPr>
          <w:rFonts w:ascii="PT-Serif" w:hAnsi="PT-Serif"/>
          <w:b/>
          <w:bCs/>
          <w:sz w:val="27"/>
          <w:szCs w:val="27"/>
        </w:rPr>
      </w:pPr>
      <w:r w:rsidRPr="001556F2">
        <w:rPr>
          <w:rFonts w:ascii="PT-Serif" w:hAnsi="PT-Serif"/>
          <w:b/>
          <w:bCs/>
          <w:sz w:val="27"/>
          <w:szCs w:val="27"/>
        </w:rPr>
        <w:t>Contact Us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For more information about our Tel Aviv office, please feel free to reach out to our </w:t>
      </w:r>
      <w:hyperlink r:id="rId14" w:tgtFrame="_blank" w:history="1">
        <w:r w:rsidRPr="001556F2">
          <w:rPr>
            <w:rFonts w:ascii="inherit" w:hAnsi="inherit"/>
            <w:b/>
            <w:bCs/>
            <w:color w:val="BE9B39"/>
          </w:rPr>
          <w:t>Tel Aviv office contacts</w:t>
        </w:r>
      </w:hyperlink>
      <w:r w:rsidRPr="001556F2">
        <w:rPr>
          <w:rFonts w:ascii="PT-Sans" w:hAnsi="PT-Sans"/>
        </w:rPr>
        <w:t>. For information about our office holiday schedule, please click </w:t>
      </w:r>
      <w:hyperlink r:id="rId15" w:history="1">
        <w:r w:rsidRPr="001556F2">
          <w:rPr>
            <w:rFonts w:ascii="inherit" w:hAnsi="inherit"/>
            <w:b/>
            <w:bCs/>
            <w:color w:val="BE9B39"/>
            <w:u w:val="single"/>
          </w:rPr>
          <w:t>here</w:t>
        </w:r>
      </w:hyperlink>
      <w:r w:rsidRPr="001556F2">
        <w:rPr>
          <w:rFonts w:ascii="PT-Sans" w:hAnsi="PT-Sans"/>
        </w:rPr>
        <w:t>.</w:t>
      </w:r>
    </w:p>
    <w:p w:rsidR="00596224" w:rsidRPr="001556F2" w:rsidRDefault="00596224" w:rsidP="00596224">
      <w:pPr>
        <w:spacing w:after="100" w:afterAutospacing="1"/>
        <w:outlineLvl w:val="2"/>
        <w:rPr>
          <w:rFonts w:ascii="PT-Serif" w:hAnsi="PT-Serif"/>
          <w:b/>
          <w:bCs/>
          <w:sz w:val="27"/>
          <w:szCs w:val="27"/>
        </w:rPr>
      </w:pPr>
      <w:r w:rsidRPr="001556F2">
        <w:rPr>
          <w:rFonts w:ascii="PT-Serif" w:hAnsi="PT-Serif"/>
          <w:b/>
          <w:bCs/>
          <w:sz w:val="27"/>
          <w:szCs w:val="27"/>
        </w:rPr>
        <w:t>Our Clients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 xml:space="preserve">We regularly work with multinational corporations, private companies, financial institutions, venture funds, family offices, and later-stage startups across </w:t>
      </w:r>
      <w:r>
        <w:rPr>
          <w:rFonts w:ascii="PT-Sans" w:hAnsi="PT-Sans"/>
        </w:rPr>
        <w:t>various</w:t>
      </w:r>
      <w:r w:rsidRPr="001556F2">
        <w:rPr>
          <w:rFonts w:ascii="PT-Sans" w:hAnsi="PT-Sans"/>
        </w:rPr>
        <w:t xml:space="preserve"> industries. We also frequently work with numerous local Israeli law firms to provide </w:t>
      </w:r>
      <w:r w:rsidRPr="001556F2">
        <w:rPr>
          <w:rFonts w:ascii="PT-Sans" w:hAnsi="PT-Sans"/>
        </w:rPr>
        <w:lastRenderedPageBreak/>
        <w:t xml:space="preserve">them with assistance </w:t>
      </w:r>
      <w:r>
        <w:rPr>
          <w:rFonts w:ascii="PT-Sans" w:hAnsi="PT-Sans"/>
        </w:rPr>
        <w:t>concerning</w:t>
      </w:r>
      <w:r w:rsidRPr="001556F2">
        <w:rPr>
          <w:rFonts w:ascii="PT-Sans" w:hAnsi="PT-Sans"/>
        </w:rPr>
        <w:t xml:space="preserve"> their Israeli clients’ global needs outside of Israel, in the Americas, Europe, </w:t>
      </w:r>
      <w:r>
        <w:rPr>
          <w:rFonts w:ascii="PT-Sans" w:hAnsi="PT-Sans"/>
        </w:rPr>
        <w:t xml:space="preserve">the Middle East </w:t>
      </w:r>
      <w:r w:rsidRPr="001556F2">
        <w:rPr>
          <w:rFonts w:ascii="PT-Sans" w:hAnsi="PT-Sans"/>
        </w:rPr>
        <w:t>and Asia.</w:t>
      </w:r>
    </w:p>
    <w:p w:rsidR="00596224" w:rsidRPr="001556F2" w:rsidRDefault="00596224" w:rsidP="00596224">
      <w:pPr>
        <w:spacing w:after="240"/>
        <w:outlineLvl w:val="1"/>
        <w:rPr>
          <w:rFonts w:ascii="PT-Serif" w:hAnsi="PT-Serif"/>
          <w:b/>
          <w:bCs/>
          <w:spacing w:val="23"/>
          <w:sz w:val="36"/>
          <w:szCs w:val="36"/>
        </w:rPr>
      </w:pPr>
      <w:r w:rsidRPr="001556F2">
        <w:rPr>
          <w:rFonts w:ascii="PT-Serif" w:hAnsi="PT-Serif"/>
          <w:b/>
          <w:bCs/>
          <w:spacing w:val="23"/>
          <w:sz w:val="36"/>
          <w:szCs w:val="36"/>
        </w:rPr>
        <w:t>Community &amp; Civic Involvement</w:t>
      </w:r>
    </w:p>
    <w:p w:rsidR="00596224" w:rsidRPr="001556F2" w:rsidRDefault="00596224" w:rsidP="00596224">
      <w:pPr>
        <w:spacing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Greenberg Traurig regularly sponsors events around the world that promote the Israeli business community and Israel’s status as the “Startup Nation.”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Selected events organized or sponsored by Greenberg Traurig:</w:t>
      </w:r>
    </w:p>
    <w:p w:rsidR="00596224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proofErr w:type="spellStart"/>
      <w:r>
        <w:rPr>
          <w:rFonts w:ascii="PT-Sans" w:hAnsi="PT-Sans"/>
        </w:rPr>
        <w:t>PropTech</w:t>
      </w:r>
      <w:proofErr w:type="spellEnd"/>
      <w:r>
        <w:rPr>
          <w:rFonts w:ascii="PT-Sans" w:hAnsi="PT-Sans"/>
        </w:rPr>
        <w:t xml:space="preserve"> 360 Conference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The Crossroads of Cyber &amp; Security: Where the Business and Law of Cyber &amp; Security Meet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Launch of the Urban Land Institute (</w:t>
      </w:r>
      <w:proofErr w:type="spellStart"/>
      <w:r w:rsidRPr="001556F2">
        <w:rPr>
          <w:rFonts w:ascii="PT-Sans" w:hAnsi="PT-Sans"/>
        </w:rPr>
        <w:t>ULI</w:t>
      </w:r>
      <w:proofErr w:type="spellEnd"/>
      <w:r w:rsidRPr="001556F2">
        <w:rPr>
          <w:rFonts w:ascii="PT-Sans" w:hAnsi="PT-Sans"/>
        </w:rPr>
        <w:t>) in Israel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proofErr w:type="spellStart"/>
      <w:r w:rsidRPr="001556F2">
        <w:rPr>
          <w:rFonts w:ascii="PT-Sans" w:hAnsi="PT-Sans"/>
        </w:rPr>
        <w:t>OurCrowd</w:t>
      </w:r>
      <w:proofErr w:type="spellEnd"/>
      <w:r w:rsidRPr="001556F2">
        <w:rPr>
          <w:rFonts w:ascii="PT-Sans" w:hAnsi="PT-Sans"/>
        </w:rPr>
        <w:t xml:space="preserve"> Global Investment Summit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Best Practices in Intellectual Property Conference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Annual Trendlines Company Showcase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Big in Japan – Startup Nation meets the Rising Sun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Emerging Technology Briefing: FinTech Evolution in Germany and Israel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The China-Israel Investment Summit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From “Start-Up Nation” to “Start-Up Region” – Making your Mark in Latin America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Association of Corporate Counsel (ACC) Annual Summit</w:t>
      </w:r>
    </w:p>
    <w:p w:rsidR="00596224" w:rsidRPr="001556F2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Annual Conference of the Israel Bar Association</w:t>
      </w:r>
    </w:p>
    <w:p w:rsidR="00596224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 xml:space="preserve">Israel Bar Association Delegation Reception at the </w:t>
      </w:r>
      <w:proofErr w:type="spellStart"/>
      <w:r w:rsidRPr="001556F2">
        <w:rPr>
          <w:rFonts w:ascii="PT-Sans" w:hAnsi="PT-Sans"/>
        </w:rPr>
        <w:t>IBA</w:t>
      </w:r>
      <w:proofErr w:type="spellEnd"/>
      <w:r w:rsidRPr="001556F2">
        <w:rPr>
          <w:rFonts w:ascii="PT-Sans" w:hAnsi="PT-Sans"/>
        </w:rPr>
        <w:t xml:space="preserve"> Conference in Washington D.C.</w:t>
      </w:r>
    </w:p>
    <w:p w:rsidR="00596224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5A22EE">
        <w:rPr>
          <w:rFonts w:ascii="PT-Sans" w:hAnsi="PT-Sans"/>
        </w:rPr>
        <w:t>U.S. Capital Markets – Financial Tools of Choice for the Life Sciences Industry</w:t>
      </w:r>
    </w:p>
    <w:p w:rsidR="00596224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5A22EE">
        <w:rPr>
          <w:rFonts w:ascii="PT-Sans" w:hAnsi="PT-Sans"/>
        </w:rPr>
        <w:t>Israeli M&amp;A Seminar</w:t>
      </w:r>
      <w:r>
        <w:rPr>
          <w:rFonts w:ascii="PT-Sans" w:hAnsi="PT-Sans"/>
        </w:rPr>
        <w:t xml:space="preserve"> in Tokyo</w:t>
      </w:r>
    </w:p>
    <w:p w:rsidR="00596224" w:rsidRDefault="00596224" w:rsidP="00596224">
      <w:pPr>
        <w:numPr>
          <w:ilvl w:val="0"/>
          <w:numId w:val="27"/>
        </w:numPr>
        <w:spacing w:before="100" w:beforeAutospacing="1" w:after="100" w:afterAutospacing="1"/>
        <w:rPr>
          <w:rFonts w:ascii="PT-Sans" w:hAnsi="PT-Sans"/>
        </w:rPr>
      </w:pPr>
      <w:r w:rsidRPr="005A22EE">
        <w:rPr>
          <w:rFonts w:ascii="PT-Sans" w:hAnsi="PT-Sans"/>
        </w:rPr>
        <w:t>For Israeli Lawyers: How to Remain Relevant when Your Client Has a Dispute Abroad</w:t>
      </w:r>
    </w:p>
    <w:p w:rsidR="00596224" w:rsidRPr="001556F2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 xml:space="preserve">Greenberg Traurig’s Tel Aviv office and Israel Practice are involved in the community and are committed to supporting Israeli social causes and the values of Tikkun Olam (social justice). </w:t>
      </w:r>
      <w:r>
        <w:rPr>
          <w:rFonts w:ascii="PT-Sans" w:hAnsi="PT-Sans"/>
        </w:rPr>
        <w:t xml:space="preserve">In addition to spearheading the firm's regional </w:t>
      </w:r>
      <w:hyperlink r:id="rId16" w:history="1">
        <w:r w:rsidRPr="00C0221E">
          <w:rPr>
            <w:rStyle w:val="Hyperlink"/>
            <w:rFonts w:ascii="PT-Sans" w:hAnsi="PT-Sans"/>
          </w:rPr>
          <w:t>Women's Initiative</w:t>
        </w:r>
      </w:hyperlink>
      <w:r>
        <w:rPr>
          <w:rFonts w:ascii="PT-Sans" w:hAnsi="PT-Sans"/>
        </w:rPr>
        <w:t xml:space="preserve"> for Europe and Israel, </w:t>
      </w:r>
      <w:r w:rsidRPr="001556F2">
        <w:rPr>
          <w:rFonts w:ascii="PT-Sans" w:hAnsi="PT-Sans"/>
        </w:rPr>
        <w:t>Greenberg Traurig is proud to provide pro bono legal assistance and financial support to numerous charitable organizations that serve Israel and the worldwide Jewish community, including:</w:t>
      </w:r>
    </w:p>
    <w:p w:rsidR="00596224" w:rsidRPr="00076790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r w:rsidRPr="00076790">
        <w:rPr>
          <w:rFonts w:ascii="PT-Sans" w:hAnsi="PT-Sans"/>
        </w:rPr>
        <w:t>Elie Wiesel Foundation for Humanity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Women's International Zionist Organization (</w:t>
      </w:r>
      <w:proofErr w:type="spellStart"/>
      <w:r w:rsidRPr="001556F2">
        <w:rPr>
          <w:rFonts w:ascii="PT-Sans" w:hAnsi="PT-Sans"/>
        </w:rPr>
        <w:t>WIZO</w:t>
      </w:r>
      <w:proofErr w:type="spellEnd"/>
      <w:r w:rsidRPr="001556F2">
        <w:rPr>
          <w:rFonts w:ascii="PT-Sans" w:hAnsi="PT-Sans"/>
        </w:rPr>
        <w:t>)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United Hatzalah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 xml:space="preserve">Magen David </w:t>
      </w:r>
      <w:proofErr w:type="spellStart"/>
      <w:r w:rsidRPr="001556F2">
        <w:rPr>
          <w:rFonts w:ascii="PT-Sans" w:hAnsi="PT-Sans"/>
        </w:rPr>
        <w:t>Adom</w:t>
      </w:r>
      <w:proofErr w:type="spellEnd"/>
      <w:r w:rsidRPr="001556F2">
        <w:rPr>
          <w:rFonts w:ascii="PT-Sans" w:hAnsi="PT-Sans"/>
        </w:rPr>
        <w:t xml:space="preserve"> (</w:t>
      </w:r>
      <w:proofErr w:type="spellStart"/>
      <w:r w:rsidRPr="001556F2">
        <w:rPr>
          <w:rFonts w:ascii="PT-Sans" w:hAnsi="PT-Sans"/>
        </w:rPr>
        <w:t>MADA</w:t>
      </w:r>
      <w:proofErr w:type="spellEnd"/>
      <w:r w:rsidRPr="001556F2">
        <w:rPr>
          <w:rFonts w:ascii="PT-Sans" w:hAnsi="PT-Sans"/>
        </w:rPr>
        <w:t>)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proofErr w:type="spellStart"/>
      <w:r w:rsidRPr="001556F2">
        <w:rPr>
          <w:rFonts w:ascii="PT-Sans" w:hAnsi="PT-Sans"/>
        </w:rPr>
        <w:t>Tmura</w:t>
      </w:r>
      <w:proofErr w:type="spellEnd"/>
      <w:r w:rsidRPr="001556F2">
        <w:rPr>
          <w:rFonts w:ascii="PT-Sans" w:hAnsi="PT-Sans"/>
        </w:rPr>
        <w:t xml:space="preserve"> - The Israeli Public Service Venture Fund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Rabin Medical Center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</w:rPr>
        <w:t>United Jewish Appeal (</w:t>
      </w:r>
      <w:proofErr w:type="spellStart"/>
      <w:r w:rsidRPr="001556F2">
        <w:rPr>
          <w:rFonts w:ascii="PT-Sans" w:hAnsi="PT-Sans"/>
        </w:rPr>
        <w:t>UJA</w:t>
      </w:r>
      <w:proofErr w:type="spellEnd"/>
      <w:r w:rsidRPr="001556F2">
        <w:rPr>
          <w:rFonts w:ascii="PT-Sans" w:hAnsi="PT-Sans"/>
        </w:rPr>
        <w:t>)/ Federation of Jewish Philanthropies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proofErr w:type="spellStart"/>
      <w:r w:rsidRPr="001556F2">
        <w:rPr>
          <w:rFonts w:ascii="PT-Sans" w:hAnsi="PT-Sans"/>
        </w:rPr>
        <w:t>IRHA</w:t>
      </w:r>
      <w:proofErr w:type="spellEnd"/>
      <w:r w:rsidRPr="001556F2">
        <w:rPr>
          <w:rFonts w:ascii="PT-Sans" w:hAnsi="PT-Sans"/>
        </w:rPr>
        <w:t xml:space="preserve"> (Israel Recreational Hockey Association)</w:t>
      </w:r>
    </w:p>
    <w:p w:rsidR="00596224" w:rsidRPr="001556F2" w:rsidRDefault="00596224" w:rsidP="00596224">
      <w:pPr>
        <w:numPr>
          <w:ilvl w:val="0"/>
          <w:numId w:val="28"/>
        </w:numPr>
        <w:spacing w:before="100" w:beforeAutospacing="1" w:after="100" w:afterAutospacing="1"/>
        <w:rPr>
          <w:rFonts w:ascii="PT-Sans" w:hAnsi="PT-Sans"/>
        </w:rPr>
      </w:pPr>
      <w:proofErr w:type="spellStart"/>
      <w:r w:rsidRPr="001556F2">
        <w:rPr>
          <w:rFonts w:ascii="PT-Sans" w:hAnsi="PT-Sans"/>
        </w:rPr>
        <w:t>Colel</w:t>
      </w:r>
      <w:proofErr w:type="spellEnd"/>
      <w:r w:rsidRPr="001556F2">
        <w:rPr>
          <w:rFonts w:ascii="PT-Sans" w:hAnsi="PT-Sans"/>
        </w:rPr>
        <w:t xml:space="preserve"> Chabad/ Pantry Packers Soup Kitchens</w:t>
      </w:r>
    </w:p>
    <w:p w:rsidR="00596224" w:rsidRPr="008010DD" w:rsidRDefault="00596224" w:rsidP="00596224">
      <w:pPr>
        <w:spacing w:before="100" w:beforeAutospacing="1" w:after="100" w:afterAutospacing="1"/>
        <w:rPr>
          <w:rFonts w:ascii="PT-Sans" w:hAnsi="PT-Sans"/>
        </w:rPr>
      </w:pPr>
      <w:r w:rsidRPr="001556F2">
        <w:rPr>
          <w:rFonts w:ascii="PT-Sans" w:hAnsi="PT-Sans"/>
          <w:sz w:val="20"/>
          <w:szCs w:val="20"/>
        </w:rPr>
        <w:lastRenderedPageBreak/>
        <w:t>^Greenberg Traurig's Tel Aviv office is a branch of Greenberg Traurig, P.A., Florida, USA, licensed by the Israel bar association as a foreign law firm. Attorneys in the Tel Aviv office do not practice Israeli law.</w:t>
      </w:r>
    </w:p>
    <w:p w:rsidR="005D1DD1" w:rsidRDefault="005D1DD1"/>
    <w:sectPr w:rsidR="005D1DD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4F53" w:rsidRDefault="00B44F53">
      <w:r>
        <w:separator/>
      </w:r>
    </w:p>
  </w:endnote>
  <w:endnote w:type="continuationSeparator" w:id="0">
    <w:p w:rsidR="00B44F53" w:rsidRDefault="00B44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T-Sans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T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5C8" w:rsidRDefault="00B44F53" w:rsidP="00A665C8">
    <w:pPr>
      <w:pStyle w:val="GTDocID"/>
    </w:pPr>
    <w:fldSimple w:instr=" DOCPROPERTY DOCXDOCID DMS=InterwovenIManage Format=&lt;&lt;LIB&gt;&gt; &lt;&lt;NUM&gt;&gt;v&lt;&lt;VER&gt;&gt; PRESERVELOCATION \* MERGEFORMAT ">
      <w:r w:rsidR="00A665C8" w:rsidRPr="00A665C8">
        <w:t>TLV1 626109777v1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DD1" w:rsidRDefault="00386CF2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A665C8" w:rsidRDefault="00B44F53" w:rsidP="00A665C8">
    <w:pPr>
      <w:pStyle w:val="GTDocID"/>
    </w:pPr>
    <w:fldSimple w:instr=" DOCPROPERTY DOCXDOCID DMS=InterwovenIManage Format=&lt;&lt;LIB&gt;&gt; &lt;&lt;NUM&gt;&gt;v&lt;&lt;VER&gt;&gt; PRESERVELOCATION \* MERGEFORMAT ">
      <w:r w:rsidR="00A665C8" w:rsidRPr="00A665C8">
        <w:t>TLV1 626109777v1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5C8" w:rsidRDefault="00B44F53" w:rsidP="00A665C8">
    <w:pPr>
      <w:pStyle w:val="GTDocID"/>
    </w:pPr>
    <w:fldSimple w:instr=" DOCPROPERTY DOCXDOCID DMS=InterwovenIManage Format=&lt;&lt;LIB&gt;&gt; &lt;&lt;NUM&gt;&gt;v&lt;&lt;VER&gt;&gt; PRESERVELOCATION \* MERGEFORMAT ">
      <w:r w:rsidR="00A665C8" w:rsidRPr="00A665C8">
        <w:t>TLV1 626109777v1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4F53" w:rsidRDefault="00B44F53">
      <w:r>
        <w:separator/>
      </w:r>
    </w:p>
  </w:footnote>
  <w:footnote w:type="continuationSeparator" w:id="0">
    <w:p w:rsidR="00B44F53" w:rsidRDefault="00B44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5C8" w:rsidRDefault="00A66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5C8" w:rsidRDefault="00A66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65C8" w:rsidRDefault="00A66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3478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12848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4400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254B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FE0F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042D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DA04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C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F64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CE0F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E779D"/>
    <w:multiLevelType w:val="multilevel"/>
    <w:tmpl w:val="1128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E24DEB"/>
    <w:multiLevelType w:val="multilevel"/>
    <w:tmpl w:val="012A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6F4042"/>
    <w:multiLevelType w:val="multilevel"/>
    <w:tmpl w:val="DDBAB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387E1B"/>
    <w:multiLevelType w:val="multilevel"/>
    <w:tmpl w:val="6F78B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4362E0"/>
    <w:multiLevelType w:val="multilevel"/>
    <w:tmpl w:val="CAB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A83D40"/>
    <w:multiLevelType w:val="multilevel"/>
    <w:tmpl w:val="ED267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CB1BED"/>
    <w:multiLevelType w:val="multilevel"/>
    <w:tmpl w:val="350E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454469"/>
    <w:multiLevelType w:val="multilevel"/>
    <w:tmpl w:val="85FA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A005FD"/>
    <w:multiLevelType w:val="multilevel"/>
    <w:tmpl w:val="CBA86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C35A3"/>
    <w:multiLevelType w:val="multilevel"/>
    <w:tmpl w:val="EAF6A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83705C"/>
    <w:multiLevelType w:val="multilevel"/>
    <w:tmpl w:val="82963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8B2D54"/>
    <w:multiLevelType w:val="multilevel"/>
    <w:tmpl w:val="7792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86CAD"/>
    <w:multiLevelType w:val="multilevel"/>
    <w:tmpl w:val="DB722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E43533"/>
    <w:multiLevelType w:val="multilevel"/>
    <w:tmpl w:val="69BA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120FA4"/>
    <w:multiLevelType w:val="multilevel"/>
    <w:tmpl w:val="6FDA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73205C"/>
    <w:multiLevelType w:val="multilevel"/>
    <w:tmpl w:val="4FFE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A30729"/>
    <w:multiLevelType w:val="multilevel"/>
    <w:tmpl w:val="D9620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8A0698"/>
    <w:multiLevelType w:val="multilevel"/>
    <w:tmpl w:val="6A024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7"/>
  </w:num>
  <w:num w:numId="12">
    <w:abstractNumId w:val="19"/>
  </w:num>
  <w:num w:numId="13">
    <w:abstractNumId w:val="12"/>
  </w:num>
  <w:num w:numId="14">
    <w:abstractNumId w:val="22"/>
  </w:num>
  <w:num w:numId="15">
    <w:abstractNumId w:val="24"/>
  </w:num>
  <w:num w:numId="16">
    <w:abstractNumId w:val="25"/>
  </w:num>
  <w:num w:numId="17">
    <w:abstractNumId w:val="16"/>
  </w:num>
  <w:num w:numId="18">
    <w:abstractNumId w:val="21"/>
  </w:num>
  <w:num w:numId="19">
    <w:abstractNumId w:val="20"/>
  </w:num>
  <w:num w:numId="20">
    <w:abstractNumId w:val="13"/>
  </w:num>
  <w:num w:numId="21">
    <w:abstractNumId w:val="23"/>
  </w:num>
  <w:num w:numId="22">
    <w:abstractNumId w:val="15"/>
  </w:num>
  <w:num w:numId="23">
    <w:abstractNumId w:val="10"/>
  </w:num>
  <w:num w:numId="24">
    <w:abstractNumId w:val="26"/>
  </w:num>
  <w:num w:numId="25">
    <w:abstractNumId w:val="17"/>
  </w:num>
  <w:num w:numId="26">
    <w:abstractNumId w:val="18"/>
  </w:num>
  <w:num w:numId="27">
    <w:abstractNumId w:val="14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224"/>
    <w:rsid w:val="000E190D"/>
    <w:rsid w:val="00386CF2"/>
    <w:rsid w:val="00596224"/>
    <w:rsid w:val="005D1DD1"/>
    <w:rsid w:val="006473F4"/>
    <w:rsid w:val="007D7FBD"/>
    <w:rsid w:val="00A665C8"/>
    <w:rsid w:val="00AA541D"/>
    <w:rsid w:val="00B22244"/>
    <w:rsid w:val="00B44F53"/>
    <w:rsid w:val="00BC537C"/>
    <w:rsid w:val="00C22F04"/>
    <w:rsid w:val="00C43B22"/>
    <w:rsid w:val="00E11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B18CE-6387-41B5-B8CB-079E86C5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96224"/>
    <w:rPr>
      <w:lang w:bidi="he-IL"/>
    </w:rPr>
  </w:style>
  <w:style w:type="paragraph" w:styleId="Heading1">
    <w:name w:val="heading 1"/>
    <w:basedOn w:val="Normal"/>
    <w:next w:val="Normal"/>
    <w:pPr>
      <w:keepNext/>
      <w:spacing w:after="240"/>
      <w:jc w:val="both"/>
      <w:outlineLvl w:val="0"/>
    </w:pPr>
    <w:rPr>
      <w:rFonts w:cs="Arial"/>
      <w:b/>
      <w:bCs/>
      <w:caps/>
      <w:szCs w:val="32"/>
    </w:rPr>
  </w:style>
  <w:style w:type="paragraph" w:styleId="Heading2">
    <w:name w:val="heading 2"/>
    <w:basedOn w:val="Normal"/>
    <w:next w:val="Normal"/>
    <w:pPr>
      <w:keepNext/>
      <w:spacing w:after="240"/>
      <w:jc w:val="both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pPr>
      <w:keepNext/>
      <w:spacing w:after="240"/>
      <w:jc w:val="both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after="240"/>
      <w:jc w:val="both"/>
    </w:pPr>
  </w:style>
  <w:style w:type="paragraph" w:styleId="FootnoteText">
    <w:name w:val="footnote text"/>
    <w:basedOn w:val="Normal"/>
    <w:next w:val="Normal"/>
    <w:pPr>
      <w:spacing w:after="60"/>
      <w:ind w:left="360" w:hanging="360"/>
      <w:jc w:val="both"/>
    </w:pPr>
    <w:rPr>
      <w:sz w:val="18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GTBC">
    <w:name w:val="GTBC"/>
    <w:basedOn w:val="Normal"/>
    <w:next w:val="BodyText"/>
    <w:pPr>
      <w:spacing w:after="240"/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Pr>
      <w:rFonts w:ascii="Shruti" w:hAnsi="Shruti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rPr>
      <w:b/>
      <w:bCs/>
      <w:szCs w:val="20"/>
    </w:rPr>
  </w:style>
  <w:style w:type="character" w:styleId="CommentReference">
    <w:name w:val="annotation reference"/>
    <w:basedOn w:val="DefaultParagraphFont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Cs w:val="20"/>
    </w:rPr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EndnoteText">
    <w:name w:val="endnote text"/>
    <w:basedOn w:val="Normal"/>
    <w:semiHidden/>
    <w:rPr>
      <w:szCs w:val="20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="Courier New"/>
      <w:lang w:val="en-GB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00"/>
    </w:pPr>
  </w:style>
  <w:style w:type="paragraph" w:styleId="TOC3">
    <w:name w:val="toc 3"/>
    <w:basedOn w:val="Normal"/>
    <w:next w:val="Normal"/>
    <w:autoRedefine/>
    <w:semiHidden/>
    <w:pPr>
      <w:ind w:left="400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character" w:styleId="Emphasis">
    <w:name w:val="Emphasis"/>
    <w:basedOn w:val="DefaultParagraphFont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59622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596224"/>
    <w:rPr>
      <w:color w:val="0000FF"/>
      <w:u w:val="single"/>
    </w:rPr>
  </w:style>
  <w:style w:type="paragraph" w:customStyle="1" w:styleId="GTDocID">
    <w:name w:val="GT DocID"/>
    <w:basedOn w:val="Normal"/>
    <w:next w:val="Normal"/>
    <w:link w:val="GTDocIDChar"/>
    <w:qFormat/>
    <w:rsid w:val="00A665C8"/>
    <w:pPr>
      <w:spacing w:after="200" w:line="276" w:lineRule="auto"/>
    </w:pPr>
    <w:rPr>
      <w:rFonts w:ascii="Arial" w:eastAsiaTheme="minorHAnsi" w:hAnsi="Arial" w:cstheme="minorBidi"/>
      <w:i/>
      <w:noProof/>
      <w:sz w:val="16"/>
      <w:szCs w:val="22"/>
      <w:lang w:bidi="ar-SA"/>
    </w:rPr>
  </w:style>
  <w:style w:type="character" w:customStyle="1" w:styleId="GTDocIDChar">
    <w:name w:val="GT DocID Char"/>
    <w:basedOn w:val="DefaultParagraphFont"/>
    <w:link w:val="GTDocID"/>
    <w:rsid w:val="00A665C8"/>
    <w:rPr>
      <w:rFonts w:ascii="Arial" w:eastAsiaTheme="minorHAnsi" w:hAnsi="Arial" w:cstheme="minorBidi"/>
      <w:i/>
      <w:noProof/>
      <w:sz w:val="1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tlaw.com/en/~/link.aspx?_id=1D98C14992F445BAA7B8667C6F8D65A6&amp;_z=z" TargetMode="External"/><Relationship Id="rId13" Type="http://schemas.openxmlformats.org/officeDocument/2006/relationships/image" Target="media/image1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s://www.gtlaw.com/en/locations/tel-aviv" TargetMode="External"/><Relationship Id="rId12" Type="http://schemas.openxmlformats.org/officeDocument/2006/relationships/hyperlink" Target="http://www.gtlaw-israelpractice.com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gtlaw.com/en/news/2018/9/media-coverage/greenberg-traurig-womens-initiative-hosts-talk-on-disrupting-implicit-bias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tlaw.com/en/general/regions-practice-pages-general-content/regions-middle-east-and-africa-practices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gtlaw.com/en/general/tel-aviv-holiday-schedule-general-content/tel-aviv-office-schedul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gtlaw.com/en/professionals/s/shabot-joey-t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tlaw.com/en/general/regions-practice-pages-general-content/regions-middle-east-and-africa-practices" TargetMode="External"/><Relationship Id="rId14" Type="http://schemas.openxmlformats.org/officeDocument/2006/relationships/hyperlink" Target="https://www.gtlaw.com/en/general/location-key-contacts/tel-aviv-office-contacts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1080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Chagal, Donna R. (BStf-TLV-Mktg)</dc:creator>
  <cp:keywords/>
  <dc:description/>
  <cp:lastModifiedBy>Scancarello, Jenna (Mgr-ShrdSvc-Mktg)</cp:lastModifiedBy>
  <cp:revision>3</cp:revision>
  <dcterms:created xsi:type="dcterms:W3CDTF">2020-10-19T17:27:00Z</dcterms:created>
  <dcterms:modified xsi:type="dcterms:W3CDTF">2020-10-20T22:18:00Z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TLV1 626109777v1</vt:lpwstr>
  </property>
  <property fmtid="{D5CDD505-2E9C-101B-9397-08002B2CF9AE}" pid="3" name="DocXLocation">
    <vt:lpwstr>Every Page</vt:lpwstr>
  </property>
  <property fmtid="{D5CDD505-2E9C-101B-9397-08002B2CF9AE}" pid="4" name="DocXFormat">
    <vt:lpwstr>DefaultFormat</vt:lpwstr>
  </property>
</Properties>
</file>